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51FD" w14:textId="31F4B074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antikūnas, </w:t>
      </w:r>
      <w:r w:rsidR="00051F30" w:rsidRPr="00D5570D">
        <w:rPr>
          <w:rFonts w:ascii="Helvetica" w:eastAsia="Times New Roman" w:hAnsi="Helvetica" w:cs="Arial"/>
          <w:sz w:val="20"/>
          <w:szCs w:val="24"/>
          <w:lang w:eastAsia="lt-LT"/>
        </w:rPr>
        <w:t>kuris su</w:t>
      </w:r>
      <w:r w:rsidR="00A250FB" w:rsidRPr="00D5570D">
        <w:rPr>
          <w:rFonts w:ascii="Helvetica" w:eastAsia="Times New Roman" w:hAnsi="Helvetica" w:cs="Arial"/>
          <w:sz w:val="20"/>
          <w:szCs w:val="24"/>
          <w:lang w:eastAsia="lt-LT"/>
        </w:rPr>
        <w:t>r</w:t>
      </w:r>
      <w:r w:rsidR="00051F30" w:rsidRPr="00D5570D">
        <w:rPr>
          <w:rFonts w:ascii="Helvetica" w:eastAsia="Times New Roman" w:hAnsi="Helvetica" w:cs="Arial"/>
          <w:sz w:val="20"/>
          <w:szCs w:val="24"/>
          <w:lang w:eastAsia="lt-LT"/>
        </w:rPr>
        <w:t>iša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FIXa </w:t>
      </w:r>
      <w:r w:rsidR="00A250FB" w:rsidRPr="00D5570D">
        <w:rPr>
          <w:rFonts w:ascii="Helvetica" w:eastAsia="Times New Roman" w:hAnsi="Helvetica" w:cs="Arial"/>
          <w:sz w:val="20"/>
          <w:szCs w:val="24"/>
          <w:lang w:eastAsia="lt-LT"/>
        </w:rPr>
        <w:t>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FX ir katalizuoja FIXa </w:t>
      </w:r>
      <w:r w:rsidR="00051F30" w:rsidRPr="00D5570D">
        <w:rPr>
          <w:rFonts w:ascii="Helvetica" w:eastAsia="Times New Roman" w:hAnsi="Helvetica" w:cs="Arial"/>
          <w:sz w:val="20"/>
          <w:szCs w:val="24"/>
          <w:lang w:eastAsia="lt-LT"/>
        </w:rPr>
        <w:t>tarpininkaujamą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FX aktyva</w:t>
      </w:r>
      <w:r w:rsidR="00051F30" w:rsidRPr="00D5570D">
        <w:rPr>
          <w:rFonts w:ascii="Helvetica" w:eastAsia="Times New Roman" w:hAnsi="Helvetica" w:cs="Arial"/>
          <w:sz w:val="20"/>
          <w:szCs w:val="24"/>
          <w:lang w:eastAsia="lt-LT"/>
        </w:rPr>
        <w:t>ciją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, kur antikūnas apima dvi imunoglobulino </w:t>
      </w:r>
      <w:r w:rsidR="0094075B" w:rsidRPr="00D5570D">
        <w:rPr>
          <w:rFonts w:ascii="Helvetica" w:eastAsia="Times New Roman" w:hAnsi="Helvetica" w:cs="Arial"/>
          <w:sz w:val="20"/>
          <w:szCs w:val="24"/>
          <w:lang w:eastAsia="lt-LT"/>
        </w:rPr>
        <w:t>sunkiosios ir lengvosios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grandinė</w:t>
      </w:r>
      <w:r w:rsidR="0094075B" w:rsidRPr="00D5570D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poras, kur</w:t>
      </w:r>
    </w:p>
    <w:p w14:paraId="37CC2297" w14:textId="4ECC3E75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pirmoji sunkiosios</w:t>
      </w:r>
      <w:r w:rsidR="0094075B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pora apima FIXa surišančią Fv sritį, apimančią pirmąjį VH domeną, suporuotą su pirmuoju VL domenu, ir</w:t>
      </w:r>
    </w:p>
    <w:p w14:paraId="2D57BFDE" w14:textId="7D0B573A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antroji sunkiosios</w:t>
      </w:r>
      <w:r w:rsidR="0094075B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pora apima FX surišančią Fv sritį, apimančią antrąjį VH domeną, suporuotą su antruoju VL domenu, kur</w:t>
      </w:r>
    </w:p>
    <w:p w14:paraId="1A68664B" w14:textId="628D9A76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pirmasis VH domenas apima</w:t>
      </w:r>
      <w:r w:rsidR="0094075B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HCDR</w:t>
      </w:r>
      <w:r w:rsidR="00F51294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rinkinį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F51294" w:rsidRPr="00D5570D">
        <w:rPr>
          <w:rFonts w:ascii="Helvetica" w:eastAsia="Times New Roman" w:hAnsi="Helvetica" w:cs="Arial"/>
          <w:sz w:val="20"/>
          <w:szCs w:val="24"/>
          <w:lang w:eastAsia="lt-LT"/>
        </w:rPr>
        <w:t>tį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HCDR1, HCDR2 ir HCDR3, kurių aminorūgščių sekos</w:t>
      </w:r>
      <w:r w:rsidR="00F51294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yra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apibrėžtos, k</w:t>
      </w:r>
      <w:r w:rsidR="00F51294" w:rsidRPr="00D5570D">
        <w:rPr>
          <w:rFonts w:ascii="Helvetica" w:eastAsia="Times New Roman" w:hAnsi="Helvetica" w:cs="Arial"/>
          <w:sz w:val="20"/>
          <w:szCs w:val="24"/>
          <w:lang w:eastAsia="lt-LT"/>
        </w:rPr>
        <w:t>ur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HCDR1 yra SEQ ID Nr. 441, HCDR2 yra SEQ ID Nr. 436 ir HCDR3 yra SEQ ID Nr.</w:t>
      </w:r>
      <w:r w:rsidR="00F51294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433, ir kur pirmasis VH domenas yra bent 95 % </w:t>
      </w:r>
      <w:r w:rsidR="00A250FB" w:rsidRPr="00D5570D">
        <w:rPr>
          <w:rFonts w:ascii="Helvetica" w:eastAsia="Times New Roman" w:hAnsi="Helvetica" w:cs="Arial"/>
          <w:sz w:val="20"/>
          <w:szCs w:val="24"/>
          <w:lang w:eastAsia="lt-LT"/>
        </w:rPr>
        <w:t>tapatu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s N1280H VH domenui SEQ ID Nr. 443</w:t>
      </w:r>
      <w:r w:rsidR="006C07DE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aminorūgščių sekos lyg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>yje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;</w:t>
      </w:r>
    </w:p>
    <w:p w14:paraId="3228F907" w14:textId="157F2D63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antrasis VH domenas apima HCDR rinkinį, apimantį HCDR1, HCDR2 ir HCDR3, kurių aminorūgščių sekos apibrėžtos, kur HCDR1 yra SEQ ID Nr. 598, HCDR2 yra SEQ ID Nr.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467 ir HCDR3 yra SEQ ID Nr. 565, ir kur antrasis VH domenas yra bent 95 % </w:t>
      </w:r>
      <w:r w:rsidR="00A250FB" w:rsidRPr="00D5570D">
        <w:rPr>
          <w:rFonts w:ascii="Helvetica" w:eastAsia="Times New Roman" w:hAnsi="Helvetica" w:cs="Arial"/>
          <w:sz w:val="20"/>
          <w:szCs w:val="24"/>
          <w:lang w:eastAsia="lt-LT"/>
        </w:rPr>
        <w:t>tapatu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s T0999H VH domenui SEQ ID Nr. 632 aminorūgščių sekos lyg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>yje,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</w:p>
    <w:p w14:paraId="68E65AB5" w14:textId="506FD190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pirmasis VL domenas ir antrasis VL domenas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, kiekvienas iš jų, apima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LCDR rinkinį, apimantį LCDR1, LCDR2 ir LCDR3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>, kurių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seko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>s yra apibrėžtos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, kur LCDR1 yra SEQ ID Nr. 6, LCDR2 yra SEQ ID Nr. 7 ir LCDR3 yra SEQ ID Nr. 8</w:t>
      </w:r>
      <w:r w:rsidR="00D6595B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 pirmasis VL domenas ir antrasis VL domenas yra bent 95 % </w:t>
      </w:r>
      <w:r w:rsidR="006C07DE" w:rsidRPr="00D5570D">
        <w:rPr>
          <w:rFonts w:ascii="Helvetica" w:eastAsia="Times New Roman" w:hAnsi="Helvetica" w:cs="Arial"/>
          <w:sz w:val="20"/>
          <w:szCs w:val="24"/>
          <w:lang w:eastAsia="lt-LT"/>
        </w:rPr>
        <w:t>tapatūs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0128L VL domenui SEQ ID Nr. 10 aminorūgščių sekos lyg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>yje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6CC75647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A3E8A4" w14:textId="2A7F7932" w:rsidR="007852AA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ankstesnį punktą, kur pirmasis VH domenas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pasižymi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mažiausiai 96 %, mažiausiai 97 %, mažiausiai 98 % arba mažiausiai 99 % 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>aminorūgščių sekos tapatumu N1280H VH domenu</w:t>
      </w:r>
      <w:r w:rsidR="006C07DE" w:rsidRPr="00D5570D">
        <w:rPr>
          <w:rFonts w:ascii="Helvetica" w:eastAsia="Times New Roman" w:hAnsi="Helvetica" w:cs="Arial"/>
          <w:sz w:val="20"/>
          <w:szCs w:val="24"/>
          <w:lang w:eastAsia="lt-LT"/>
        </w:rPr>
        <w:t>i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SEQ ID Nr. 443.</w:t>
      </w:r>
    </w:p>
    <w:p w14:paraId="31DF06AE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188DBCB2" w14:textId="540FFE0D" w:rsidR="007852AA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3. Bispecifinis antikūnas pagal 1 arba 2 punktą, kur pirmasis VH domenas yra N1441H 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>VH domenas SEQ ID Nr. 456.</w:t>
      </w:r>
    </w:p>
    <w:p w14:paraId="04922573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EDD278A" w14:textId="75B34F64" w:rsidR="007852AA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4.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1 arba 2 punktą, kur pirmasis VH domenas yra </w:t>
      </w:r>
      <w:r w:rsidR="007852AA" w:rsidRPr="00D5570D">
        <w:rPr>
          <w:rFonts w:ascii="Helvetica" w:eastAsia="Times New Roman" w:hAnsi="Helvetica" w:cs="Arial"/>
          <w:sz w:val="20"/>
          <w:szCs w:val="24"/>
          <w:lang w:eastAsia="lt-LT"/>
        </w:rPr>
        <w:t>N1280H VH domenas SEQ ID Nr. 443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7AF9AC61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1066B5E" w14:textId="57570B95" w:rsidR="00FE381E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5.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bet kurį ankstesnį punktą, kur antrasis VH domenas 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>apima SEQ ID Nr. 632.</w:t>
      </w:r>
    </w:p>
    <w:p w14:paraId="41644731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1073D51" w14:textId="348432F0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6.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bet kurį ankstesnį punktą, kur pirmasis VL domenas ir antrasis VL domenas 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>pasižymi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mažiausiai 96 %, mažiausiai 97 %, mažiausiai 98 % arba mažiausiai 99 % aminorūgščių sekos tapatum</w:t>
      </w:r>
      <w:r w:rsidR="006C07DE" w:rsidRPr="00D5570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0128L SEQ ID N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>r.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10.</w:t>
      </w:r>
    </w:p>
    <w:p w14:paraId="5C34BC58" w14:textId="77777777" w:rsid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C294380" w14:textId="4EA2F242" w:rsidR="00FE381E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7.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bet kurį ankstesnį punktą, kur pirmasis VL domenas ir 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antrasis VL domenas yra </w:t>
      </w:r>
      <w:r w:rsidR="006C07DE" w:rsidRPr="00D5570D">
        <w:rPr>
          <w:rFonts w:ascii="Helvetica" w:eastAsia="Times New Roman" w:hAnsi="Helvetica" w:cs="Arial"/>
          <w:sz w:val="20"/>
          <w:szCs w:val="24"/>
          <w:lang w:eastAsia="lt-LT"/>
        </w:rPr>
        <w:t>tapatūs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aminorūgščių seką.</w:t>
      </w:r>
    </w:p>
    <w:p w14:paraId="4BFBB953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A6285D6" w14:textId="1301836A" w:rsidR="00FE381E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8.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7 punktą, kur pirmasis VL domenas ir antrasis VL 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>domenas apima 0325L aminorūgščių seką SEQ ID Nr. 416.</w:t>
      </w:r>
    </w:p>
    <w:p w14:paraId="3C1B4051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B3D3627" w14:textId="7C7F2FD9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9.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ankstesnį punktą, kur kiekviena sunkiosios</w:t>
      </w:r>
      <w:r w:rsidR="00FE381E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pora papildomai apima CL pastovų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>jį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domeną, suporuotą su CH1 domenu.</w:t>
      </w:r>
    </w:p>
    <w:p w14:paraId="365BA286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E8B99C2" w14:textId="7476D0E8" w:rsidR="0018440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10. Bispecifinis antikūnas pagal bet kurį ankstesnį punktą, kur sunkiosios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>grandinės poros apima bendrą lengvąją grandinę.</w:t>
      </w:r>
    </w:p>
    <w:p w14:paraId="0D395982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783293B" w14:textId="6C2B8234" w:rsidR="0018440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11.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10 punktą, kur bendr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>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lengvoji grandinė apima 0128L 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>lengvosios grandinės CL aminorūgščių seką SEQ ID Nr. 146.</w:t>
      </w:r>
    </w:p>
    <w:p w14:paraId="5C2EE4A6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982D005" w14:textId="0E06938B" w:rsidR="0018440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12.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11 punktą, kur bendra lengvoji grandinė yra 0325L </w:t>
      </w:r>
      <w:r w:rsidR="00184405" w:rsidRPr="00D5570D">
        <w:rPr>
          <w:rFonts w:ascii="Helvetica" w:eastAsia="Times New Roman" w:hAnsi="Helvetica" w:cs="Arial"/>
          <w:sz w:val="20"/>
          <w:szCs w:val="24"/>
          <w:lang w:eastAsia="lt-LT"/>
        </w:rPr>
        <w:t>lengvoji grandinė SEQ ID Nr. 414.</w:t>
      </w:r>
    </w:p>
    <w:p w14:paraId="2D56E9CE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56E99E9" w14:textId="7CEC029D" w:rsidR="00EB3C82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13. Bispecifinis antikūnas pagal bet kurį ankstesnį punktą, kur kiekvienos sunkiosios </w:t>
      </w:r>
      <w:bookmarkStart w:id="0" w:name="_Hlk92146435"/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ir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lengvosios </w:t>
      </w:r>
      <w:bookmarkEnd w:id="0"/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grandinės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poros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sunkioji grandinė apima sunkiosios grandinės pastovią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sritį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 kur pirmoji ir antroji sunkiosios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 lengvosios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grandinės poros susijungia su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formuo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damos tetramerinį imunoglobuliną 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dėka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grandinės pastovių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jų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EB3C82" w:rsidRPr="00D5570D">
        <w:rPr>
          <w:rFonts w:ascii="Helvetica" w:eastAsia="Times New Roman" w:hAnsi="Helvetica" w:cs="Arial"/>
          <w:sz w:val="20"/>
          <w:szCs w:val="24"/>
          <w:lang w:eastAsia="lt-LT"/>
        </w:rPr>
        <w:t>sričių dimerizacijos.</w:t>
      </w:r>
    </w:p>
    <w:p w14:paraId="762B0101" w14:textId="77777777" w:rsidR="00EB3C82" w:rsidRPr="00D5570D" w:rsidRDefault="00EB3C82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01BB86C" w14:textId="7A54410D" w:rsidR="007D7212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14.</w:t>
      </w:r>
      <w:r w:rsidR="00797250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13 punktą, kur pirmos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</w:t>
      </w:r>
      <w:r w:rsidR="00AA3C3E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poros sunkiosios grandinės pastovioji sritis apima </w:t>
      </w:r>
      <w:r w:rsidR="00715D43" w:rsidRPr="00D5570D">
        <w:rPr>
          <w:rFonts w:ascii="Helvetica" w:eastAsia="Times New Roman" w:hAnsi="Helvetica" w:cs="Arial"/>
          <w:sz w:val="20"/>
          <w:szCs w:val="24"/>
          <w:lang w:eastAsia="lt-LT"/>
        </w:rPr>
        <w:t>skirtingą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nei antrosios sunkiosios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poros sunkiosios grandinės pastovioji sritis, kur skirtingos aminorūgščių sekos yra suk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>onstruotos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>grandinės pastovių</w:t>
      </w:r>
      <w:r w:rsidR="00715D43" w:rsidRPr="00D5570D">
        <w:rPr>
          <w:rFonts w:ascii="Helvetica" w:eastAsia="Times New Roman" w:hAnsi="Helvetica" w:cs="Arial"/>
          <w:sz w:val="20"/>
          <w:szCs w:val="24"/>
          <w:lang w:eastAsia="lt-LT"/>
        </w:rPr>
        <w:t>jų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sričių heterodimerizacijo</w:t>
      </w:r>
      <w:r w:rsidR="00715D43" w:rsidRPr="00D5570D">
        <w:rPr>
          <w:rFonts w:ascii="Helvetica" w:eastAsia="Times New Roman" w:hAnsi="Helvetica" w:cs="Arial"/>
          <w:sz w:val="20"/>
          <w:szCs w:val="24"/>
          <w:lang w:eastAsia="lt-LT"/>
        </w:rPr>
        <w:t>s</w:t>
      </w:r>
      <w:r w:rsidR="007D7212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palengvinimui.</w:t>
      </w:r>
    </w:p>
    <w:p w14:paraId="0D5078ED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100413E" w14:textId="37CC5275" w:rsidR="008C2543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15.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14 punktą, kur sunkiosios grandinės pastovios sritys </w:t>
      </w:r>
      <w:r w:rsidR="00AA4006" w:rsidRPr="00D5570D">
        <w:rPr>
          <w:rFonts w:ascii="Helvetica" w:eastAsia="Times New Roman" w:hAnsi="Helvetica" w:cs="Arial"/>
          <w:sz w:val="20"/>
          <w:szCs w:val="24"/>
          <w:lang w:eastAsia="lt-LT"/>
        </w:rPr>
        <w:t>apima „gumbelių į duobutes“ mutacijas arba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A25C7C" w:rsidRPr="00D5570D">
        <w:rPr>
          <w:rFonts w:ascii="Helvetica" w:eastAsia="Times New Roman" w:hAnsi="Helvetica" w:cs="Arial"/>
          <w:sz w:val="20"/>
          <w:szCs w:val="24"/>
          <w:lang w:eastAsia="lt-LT"/>
        </w:rPr>
        <w:t>aminorūgščių</w:t>
      </w:r>
      <w:r w:rsidR="00AA400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porų</w:t>
      </w:r>
      <w:r w:rsidR="008C2543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krūvį</w:t>
      </w:r>
      <w:r w:rsidR="00AA400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mutacijas.</w:t>
      </w:r>
    </w:p>
    <w:p w14:paraId="08B98A87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1AC9AD4" w14:textId="510404FB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16.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Bispecifinis antikūnas pagal 14 punktą, kur vienos (pvz., pirmosios) sunkiosios </w:t>
      </w:r>
      <w:r w:rsidR="00A25C7C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ir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lengvosios grandinės poros sunkiosios grandinės pastovioji sritis yra žmogaus IgG4 pastovi</w:t>
      </w:r>
      <w:r w:rsidR="00A25C7C" w:rsidRPr="00D5570D">
        <w:rPr>
          <w:rFonts w:ascii="Helvetica" w:eastAsia="Times New Roman" w:hAnsi="Helvetica" w:cs="Arial"/>
          <w:sz w:val="20"/>
          <w:szCs w:val="24"/>
          <w:lang w:eastAsia="lt-LT"/>
        </w:rPr>
        <w:t>oji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sritis, apimanti pak</w:t>
      </w:r>
      <w:r w:rsidR="00A25C7C" w:rsidRPr="00D5570D">
        <w:rPr>
          <w:rFonts w:ascii="Helvetica" w:eastAsia="Times New Roman" w:hAnsi="Helvetica" w:cs="Arial"/>
          <w:sz w:val="20"/>
          <w:szCs w:val="24"/>
          <w:lang w:eastAsia="lt-LT"/>
        </w:rPr>
        <w:t>eitim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ą K439E, ir kur kitos</w:t>
      </w:r>
      <w:r w:rsidR="00A25C7C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(pvz., antrosios)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sunkiosios ir lengvosios grandinės poros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sunkiosios grandinės pastovioji sritis yra IgG4 sritis, apimanti pak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>eitim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ą E356K, kur pastovi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>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srities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numeracija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atitinka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E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>U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numeravimo sistemą.</w:t>
      </w:r>
    </w:p>
    <w:p w14:paraId="223FE3E8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257F950" w14:textId="08170324" w:rsidR="003C466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17.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13-16 punktų, kur vienos arba abiejų sunkiųjų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lengvųjų grandinių porų sunkiosios grandinės pastovi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>oji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 yra žmogaus IgG4 pastovi</w:t>
      </w:r>
      <w:r w:rsidR="0055647D" w:rsidRPr="00D5570D">
        <w:rPr>
          <w:rFonts w:ascii="Helvetica" w:eastAsia="Times New Roman" w:hAnsi="Helvetica" w:cs="Arial"/>
          <w:sz w:val="20"/>
          <w:szCs w:val="24"/>
          <w:lang w:eastAsia="lt-LT"/>
        </w:rPr>
        <w:t>oji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sritis, apimanti pakeitimą S228P, kur pastovios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>ios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srities numeracija 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>atitinka EU numeravimo sistemą.</w:t>
      </w:r>
    </w:p>
    <w:p w14:paraId="75E036F8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AF89534" w14:textId="35A9BF75" w:rsidR="003C466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18.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13-17 punktų, kur vienos (pvz., pirmosios) sunkiosios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lengvosios grandinės poros sunkiosios grandinės pastovioji sritis apima SEQ ID Nr. 409 ir kitos 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>(pvz., antrosios) sunkiosios ir lengvosios grandinės poros sunkiosios grandinės pastovioji sritis apima SEQ ID Nr. 410.</w:t>
      </w:r>
    </w:p>
    <w:p w14:paraId="4C22AC9E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36EC7F" w14:textId="7D93C560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19.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13-18 punktų, apimantis pirmąją sunkiąją grandinę, apimančią pirmo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>jo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VH domeno aminorūgščių seką SEQ ID Nr. 456 arba SEQ ID Nr. 443</w:t>
      </w:r>
      <w:r w:rsidR="003C4665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4D1BA6F7" w14:textId="10A08DA4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antrąją sunkiąją grandinę, apimančią ant</w:t>
      </w:r>
      <w:r w:rsidR="001066EF" w:rsidRPr="00D5570D">
        <w:rPr>
          <w:rFonts w:ascii="Helvetica" w:eastAsia="Times New Roman" w:hAnsi="Helvetica" w:cs="Arial"/>
          <w:sz w:val="20"/>
          <w:szCs w:val="24"/>
          <w:lang w:eastAsia="lt-LT"/>
        </w:rPr>
        <w:t>rojo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VH domeno aminorūgščių seką SEQ ID Nr. 632, ir</w:t>
      </w:r>
    </w:p>
    <w:p w14:paraId="38E141F9" w14:textId="6B5FF7C3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bendrą lengvąją grandinę, apimančią VL domeno aminorūgščių seką SEQ ID Nr. 416.</w:t>
      </w:r>
    </w:p>
    <w:p w14:paraId="5BB0D3F9" w14:textId="77777777" w:rsidR="006D736A" w:rsidRPr="00D5570D" w:rsidRDefault="006D736A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3F639D0" w14:textId="2F4E4A7B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20.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13-19 punktų, apimantis</w:t>
      </w:r>
    </w:p>
    <w:p w14:paraId="7814D213" w14:textId="0A022B38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pirm</w:t>
      </w:r>
      <w:r w:rsidR="001066EF" w:rsidRPr="00D5570D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</w:t>
      </w:r>
      <w:r w:rsidR="001066EF" w:rsidRPr="00D5570D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</w:t>
      </w:r>
      <w:r w:rsidR="001066EF" w:rsidRPr="00D5570D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426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</w:p>
    <w:p w14:paraId="51CC2A39" w14:textId="7777777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antrąją sunkiąją grandinę, apimančią aminorūgščių seką SEQ ID Nr. 421, ir</w:t>
      </w:r>
    </w:p>
    <w:p w14:paraId="207CA859" w14:textId="6944FD51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bendrą lengvąją grandinę, apimančią aminorūgščių seką SEQ ID Nr. 414.</w:t>
      </w:r>
    </w:p>
    <w:p w14:paraId="16B6F70D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3B69A2C" w14:textId="3EE1106C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21.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13-19 punktų, apimantis</w:t>
      </w:r>
    </w:p>
    <w:p w14:paraId="7F456133" w14:textId="5D4B5983" w:rsidR="008D11C5" w:rsidRPr="00D5570D" w:rsidRDefault="008B076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pirmąją sunkiąją grandinę</w:t>
      </w:r>
      <w:r w:rsidR="008D11C5" w:rsidRPr="00D5570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="008D11C5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419,</w:t>
      </w:r>
    </w:p>
    <w:p w14:paraId="23AECBDA" w14:textId="7777777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antrąją sunkiąją grandinę, apimančią aminorūgščių seką SEQ ID Nr. 421, ir</w:t>
      </w:r>
    </w:p>
    <w:p w14:paraId="03CF3A73" w14:textId="04307369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bendrą lengvąją grandinę, apimančią aminorūgščių seką SEQ ID Nr. 414.</w:t>
      </w:r>
    </w:p>
    <w:p w14:paraId="51C833C6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0E53FBC" w14:textId="77777777" w:rsidR="00621B72" w:rsidRDefault="008D11C5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22.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Bispecifinis antikūnas pagal bet kurį iš 1-21 punktų, kur antikūnas yra žmogaus IgG.</w:t>
      </w:r>
    </w:p>
    <w:p w14:paraId="54C9109A" w14:textId="77777777" w:rsidR="00621B72" w:rsidRDefault="00621B72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FA37DD3" w14:textId="05CAEBEA" w:rsidR="008D11C5" w:rsidRPr="00D5570D" w:rsidRDefault="008D11C5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23. Bispecifinis antikūnas pagal 22 punktą, kur antikūnas yra žmogaus IgG4.</w:t>
      </w:r>
    </w:p>
    <w:p w14:paraId="59881ADE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71E8D9EC" w14:textId="77777777" w:rsidR="00621B72" w:rsidRDefault="008D11C5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24.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Išskirta nukleorūgštis, koduojanti antikūną pagal bet kurį ankstesnį punktą.</w:t>
      </w:r>
    </w:p>
    <w:p w14:paraId="673F0274" w14:textId="77777777" w:rsidR="00621B72" w:rsidRDefault="00621B72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31194F" w14:textId="0CFD29F3" w:rsidR="008D11C5" w:rsidRPr="00D5570D" w:rsidRDefault="008D11C5" w:rsidP="00621B72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25.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Ląstelė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šeimininkė </w:t>
      </w:r>
      <w:r w:rsidRPr="00D5570D">
        <w:rPr>
          <w:rFonts w:ascii="Helvetica" w:eastAsia="Times New Roman" w:hAnsi="Helvetica" w:cs="Arial"/>
          <w:i/>
          <w:iCs/>
          <w:sz w:val="20"/>
          <w:szCs w:val="24"/>
          <w:lang w:eastAsia="lt-LT"/>
        </w:rPr>
        <w:t>in vitro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 apimanti rekombinantinę DNR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koduojančią</w:t>
      </w:r>
    </w:p>
    <w:p w14:paraId="6CA4E95A" w14:textId="0E0E31F3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bookmarkStart w:id="1" w:name="_Hlk92194110"/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sunki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bookmarkEnd w:id="1"/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pirmąjį VH domeną, kaip apibrėžta bet kuriame iš 1-23 punktų,</w:t>
      </w:r>
    </w:p>
    <w:p w14:paraId="0D991311" w14:textId="773202E4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sunkiąją grandinę,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apiman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antrąjį VH domeną, kaip apibrėžta bet kuriame iš 1-23 punktų, ir</w:t>
      </w:r>
    </w:p>
    <w:p w14:paraId="447D1FE8" w14:textId="557B9D00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antikūno lengv</w:t>
      </w:r>
      <w:r w:rsidR="008B0765" w:rsidRPr="00D5570D">
        <w:rPr>
          <w:rFonts w:ascii="Helvetica" w:eastAsia="Times New Roman" w:hAnsi="Helvetica" w:cs="Arial"/>
          <w:sz w:val="20"/>
          <w:szCs w:val="24"/>
          <w:lang w:eastAsia="lt-LT"/>
        </w:rPr>
        <w:t>ąją grandinę, apimančią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pirmąjį arba antrąjį VL domeną, kaip apibrėžta bet kuriame iš 1-23 punktų.</w:t>
      </w:r>
    </w:p>
    <w:p w14:paraId="0242E77D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5678F6D6" w14:textId="4F3BD438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26.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Ląstelė-šeimininkė pagal 25 punktą, apimanti rekombinantinę DNR, koduojančią</w:t>
      </w:r>
    </w:p>
    <w:p w14:paraId="79A2429C" w14:textId="6DE48CE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sunki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ąją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grandin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ę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, apiman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aminorūgščių seką SEQ ID Nr. 426 arba SEQ ID Nr. 419,</w:t>
      </w:r>
    </w:p>
    <w:p w14:paraId="60E256D4" w14:textId="7777777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antrąją sunkiąją grandinę, apimančią aminorūgščių seką SEQ ID Nr. 421, ir</w:t>
      </w:r>
    </w:p>
    <w:p w14:paraId="6629DC1A" w14:textId="5BB75BC2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bendrą lengvąją grandinę, apimančią aminorūgščių seką SEQ ID Nr. 414.</w:t>
      </w:r>
    </w:p>
    <w:p w14:paraId="244807E8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346580EB" w14:textId="2668B7A7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27.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Rinkinys, skirtas bispecifin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io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antikūn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>o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bet kurį iš 1-23 punktų,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gamybai,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apimantis</w:t>
      </w:r>
    </w:p>
    <w:p w14:paraId="350F81ED" w14:textId="79F061C4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="00BD0284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sunkiąją grandinę, apimančią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pirmąjį VH domeną, kaip apibrėžta bet kuriame iš 1-23 punktų, arba nukleorūgštį, koduojančią minėtą sunkiąją grandinę,</w:t>
      </w:r>
    </w:p>
    <w:p w14:paraId="2EF830AC" w14:textId="06E51BC5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sunkiąją grandinę, apimančią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antrąjį VH domeną, kaip apibrėžta bet kuriame iš 1-23 punktų, arba nukleorūgštį, koduojančią minėtą sunkiąją grandinę;</w:t>
      </w:r>
    </w:p>
    <w:p w14:paraId="02700C95" w14:textId="24B3A520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antikūno 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lengvąją grandinę, apimančią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pirmąjį VL domeną, kaip apibrėžta bet kuriame iš 1-23 punktų, arba nukleorūgštį, koduojančią minėtą lengvąją grandinę, ir</w:t>
      </w:r>
    </w:p>
    <w:p w14:paraId="1F9F584B" w14:textId="7A64255F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antikūno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lengvąją grandinę, apimančią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antrąjį VL domeną, kaip apibrėžta bet kuriame iš 1-23 punktų, arba nukleorūgštį, koduojančią minėtą lengvąją grandinę.</w:t>
      </w:r>
    </w:p>
    <w:p w14:paraId="6EFAA266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229FD217" w14:textId="3EEEEA2C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28.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Rinkinys pagal 27 punktą, apimantis</w:t>
      </w:r>
    </w:p>
    <w:p w14:paraId="684B6F4E" w14:textId="7777777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pirmąją sunkiąją grandinę, apimančią aminorūgščių seką SEQ ID Nr. 426 arba SEQ ID Nr. 419, arba nukleorūgštį, koduojančią minėtą pirmąją sunkiąją grandinę,</w:t>
      </w:r>
    </w:p>
    <w:p w14:paraId="30F9F0F5" w14:textId="77777777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antrąją sunkiąją grandinę, apimančią aminorūgščių seką SEQ ID Nr. 421, arba nukleorūgštį, koduojančią minėtą antrąją sunkiąją grandinę, ir</w:t>
      </w:r>
    </w:p>
    <w:p w14:paraId="7F9DB6E0" w14:textId="20350AAF" w:rsidR="008D11C5" w:rsidRPr="00D5570D" w:rsidRDefault="008D11C5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bendrą lengvąją grandinę, apimančią aminorūgščių seką SEQ ID Nr. 414, arba nukleorūgštį, koduojančią minėtą bendrą lengvąją grandinę.</w:t>
      </w:r>
    </w:p>
    <w:p w14:paraId="2DE79725" w14:textId="77777777" w:rsidR="00D5570D" w:rsidRPr="00D5570D" w:rsidRDefault="00D5570D" w:rsidP="00D5570D">
      <w:pPr>
        <w:spacing w:after="0" w:line="360" w:lineRule="auto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4EA36B15" w14:textId="289E296E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lastRenderedPageBreak/>
        <w:t>29.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Bispecifinio antikūno pagal bet kurį iš 1-23 punktų gamybos būdas, apimantis ląstel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-šeiminink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>ės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pagal 25 arba 26 punktą </w:t>
      </w:r>
      <w:r w:rsidR="00B65326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kultivavimą 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sąlygomis, skirtomis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bispecifinio antikūno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raiškai</w:t>
      </w:r>
      <w:r w:rsidR="006D736A" w:rsidRPr="00D5570D">
        <w:rPr>
          <w:rFonts w:ascii="Helvetica" w:eastAsia="Times New Roman" w:hAnsi="Helvetica" w:cs="Arial"/>
          <w:sz w:val="20"/>
          <w:szCs w:val="24"/>
          <w:lang w:eastAsia="lt-LT"/>
        </w:rPr>
        <w:t>,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ir bispecifinio antikūno išgavimą iš ląstelės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>-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šeimininkės kultūros.</w:t>
      </w:r>
    </w:p>
    <w:p w14:paraId="56A82345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6E4FF4B8" w14:textId="0B5E04C2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30.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Kompozicija, apimanti bispecifinį antikūną pagal bet kurį iš 1-23 punktų arba i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>šskir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tą nukleorūgštį pagal 24 punktą, tirpale su farmaciniu požiūriu priimtin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>a pagalbine medžiaga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.</w:t>
      </w:r>
    </w:p>
    <w:p w14:paraId="30E92F2A" w14:textId="77777777" w:rsidR="00D5570D" w:rsidRPr="00D5570D" w:rsidRDefault="00D5570D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</w:p>
    <w:p w14:paraId="0C6C2CDC" w14:textId="22B49BC8" w:rsidR="008D11C5" w:rsidRPr="00D5570D" w:rsidRDefault="008D11C5" w:rsidP="00D5570D">
      <w:pPr>
        <w:spacing w:after="0" w:line="360" w:lineRule="auto"/>
        <w:ind w:firstLine="567"/>
        <w:jc w:val="both"/>
        <w:rPr>
          <w:rFonts w:ascii="Helvetica" w:eastAsia="Times New Roman" w:hAnsi="Helvetica" w:cs="Arial"/>
          <w:sz w:val="20"/>
          <w:szCs w:val="24"/>
          <w:lang w:eastAsia="lt-LT"/>
        </w:rPr>
      </w:pP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31.</w:t>
      </w:r>
      <w:r w:rsidR="00D5570D"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>Kompozicija pagal 30 punktą, skirta naudoti žmogaus kūno gydym</w:t>
      </w:r>
      <w:r w:rsidR="00784991" w:rsidRPr="00D5570D">
        <w:rPr>
          <w:rFonts w:ascii="Helvetica" w:eastAsia="Times New Roman" w:hAnsi="Helvetica" w:cs="Arial"/>
          <w:sz w:val="20"/>
          <w:szCs w:val="24"/>
          <w:lang w:eastAsia="lt-LT"/>
        </w:rPr>
        <w:t>ui</w:t>
      </w:r>
      <w:r w:rsidRPr="00D5570D">
        <w:rPr>
          <w:rFonts w:ascii="Helvetica" w:eastAsia="Times New Roman" w:hAnsi="Helvetica" w:cs="Arial"/>
          <w:sz w:val="20"/>
          <w:szCs w:val="24"/>
          <w:lang w:eastAsia="lt-LT"/>
        </w:rPr>
        <w:t xml:space="preserve"> terapiniu būdu.</w:t>
      </w:r>
    </w:p>
    <w:sectPr w:rsidR="008D11C5" w:rsidRPr="00D5570D" w:rsidSect="00D5570D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5FAE" w14:textId="77777777" w:rsidR="00914474" w:rsidRDefault="00914474" w:rsidP="00774B87">
      <w:pPr>
        <w:spacing w:after="0" w:line="240" w:lineRule="auto"/>
      </w:pPr>
      <w:r>
        <w:separator/>
      </w:r>
    </w:p>
  </w:endnote>
  <w:endnote w:type="continuationSeparator" w:id="0">
    <w:p w14:paraId="7DA1A83C" w14:textId="77777777" w:rsidR="00914474" w:rsidRDefault="00914474" w:rsidP="007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F9C8" w14:textId="77777777" w:rsidR="00914474" w:rsidRDefault="00914474" w:rsidP="00774B87">
      <w:pPr>
        <w:spacing w:after="0" w:line="240" w:lineRule="auto"/>
      </w:pPr>
      <w:r>
        <w:separator/>
      </w:r>
    </w:p>
  </w:footnote>
  <w:footnote w:type="continuationSeparator" w:id="0">
    <w:p w14:paraId="1882235F" w14:textId="77777777" w:rsidR="00914474" w:rsidRDefault="00914474" w:rsidP="00774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C5"/>
    <w:rsid w:val="00051F30"/>
    <w:rsid w:val="000B4BA8"/>
    <w:rsid w:val="001066EF"/>
    <w:rsid w:val="00184405"/>
    <w:rsid w:val="003C4665"/>
    <w:rsid w:val="0055647D"/>
    <w:rsid w:val="00621B72"/>
    <w:rsid w:val="006A7D22"/>
    <w:rsid w:val="006C07DE"/>
    <w:rsid w:val="006D736A"/>
    <w:rsid w:val="007158EC"/>
    <w:rsid w:val="00715D43"/>
    <w:rsid w:val="007523E4"/>
    <w:rsid w:val="00774B87"/>
    <w:rsid w:val="00784991"/>
    <w:rsid w:val="007852AA"/>
    <w:rsid w:val="00797250"/>
    <w:rsid w:val="007D7212"/>
    <w:rsid w:val="008B0765"/>
    <w:rsid w:val="008C2543"/>
    <w:rsid w:val="008D11C5"/>
    <w:rsid w:val="00914474"/>
    <w:rsid w:val="0094075B"/>
    <w:rsid w:val="009F1969"/>
    <w:rsid w:val="00A250FB"/>
    <w:rsid w:val="00A25C7C"/>
    <w:rsid w:val="00AA3AC3"/>
    <w:rsid w:val="00AA3C3E"/>
    <w:rsid w:val="00AA4006"/>
    <w:rsid w:val="00B02984"/>
    <w:rsid w:val="00B33627"/>
    <w:rsid w:val="00B65326"/>
    <w:rsid w:val="00BD0284"/>
    <w:rsid w:val="00D5570D"/>
    <w:rsid w:val="00D6595B"/>
    <w:rsid w:val="00DC4789"/>
    <w:rsid w:val="00E64E25"/>
    <w:rsid w:val="00E73C27"/>
    <w:rsid w:val="00EB3C82"/>
    <w:rsid w:val="00EC21E3"/>
    <w:rsid w:val="00F51294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F6EA2"/>
  <w15:chartTrackingRefBased/>
  <w15:docId w15:val="{2D5C22CA-8BA7-4984-9374-DEDBAEE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7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4B87"/>
  </w:style>
  <w:style w:type="paragraph" w:styleId="Porat">
    <w:name w:val="footer"/>
    <w:basedOn w:val="prastasis"/>
    <w:link w:val="PoratDiagrama"/>
    <w:uiPriority w:val="99"/>
    <w:unhideWhenUsed/>
    <w:rsid w:val="0077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1241</Words>
  <Characters>7424</Characters>
  <Application>Microsoft Office Word</Application>
  <DocSecurity>0</DocSecurity>
  <Lines>142</Lines>
  <Paragraphs>68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Gurčytė</cp:lastModifiedBy>
  <cp:revision>4</cp:revision>
  <dcterms:created xsi:type="dcterms:W3CDTF">2022-01-04T12:51:00Z</dcterms:created>
  <dcterms:modified xsi:type="dcterms:W3CDTF">2022-01-06T06:44:00Z</dcterms:modified>
</cp:coreProperties>
</file>