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51FD" w14:textId="31F4B074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antikūnas, </w:t>
      </w:r>
      <w:r w:rsidR="00051F30" w:rsidRPr="00D5570D">
        <w:rPr>
          <w:rFonts w:ascii="Helvetica" w:eastAsia="Times New Roman" w:hAnsi="Helvetica" w:cs="Arial"/>
          <w:sz w:val="20"/>
          <w:szCs w:val="24"/>
          <w:lang w:eastAsia="lt-LT"/>
        </w:rPr>
        <w:t>kuris su</w:t>
      </w:r>
      <w:r w:rsidR="00A250FB" w:rsidRPr="00D5570D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1F30" w:rsidRPr="00D5570D">
        <w:rPr>
          <w:rFonts w:ascii="Helvetica" w:eastAsia="Times New Roman" w:hAnsi="Helvetica" w:cs="Arial"/>
          <w:sz w:val="20"/>
          <w:szCs w:val="24"/>
          <w:lang w:eastAsia="lt-LT"/>
        </w:rPr>
        <w:t>iša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FIXa </w:t>
      </w:r>
      <w:r w:rsidR="00A250FB" w:rsidRPr="00D5570D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FX ir katalizuoja FIXa </w:t>
      </w:r>
      <w:r w:rsidR="00051F30" w:rsidRPr="00D5570D">
        <w:rPr>
          <w:rFonts w:ascii="Helvetica" w:eastAsia="Times New Roman" w:hAnsi="Helvetica" w:cs="Arial"/>
          <w:sz w:val="20"/>
          <w:szCs w:val="24"/>
          <w:lang w:eastAsia="lt-LT"/>
        </w:rPr>
        <w:t>tarpininkaujamą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FX aktyva</w:t>
      </w:r>
      <w:r w:rsidR="00051F30" w:rsidRPr="00D5570D">
        <w:rPr>
          <w:rFonts w:ascii="Helvetica" w:eastAsia="Times New Roman" w:hAnsi="Helvetica" w:cs="Arial"/>
          <w:sz w:val="20"/>
          <w:szCs w:val="24"/>
          <w:lang w:eastAsia="lt-LT"/>
        </w:rPr>
        <w:t>ciją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, kur antikūnas apima dvi imunoglobulino </w:t>
      </w:r>
      <w:r w:rsidR="0094075B" w:rsidRPr="00D5570D">
        <w:rPr>
          <w:rFonts w:ascii="Helvetica" w:eastAsia="Times New Roman" w:hAnsi="Helvetica" w:cs="Arial"/>
          <w:sz w:val="20"/>
          <w:szCs w:val="24"/>
          <w:lang w:eastAsia="lt-LT"/>
        </w:rPr>
        <w:t>sunkiosios ir lengvosios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grandinė</w:t>
      </w:r>
      <w:r w:rsidR="0094075B" w:rsidRPr="00D5570D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poras, kur</w:t>
      </w:r>
    </w:p>
    <w:p w14:paraId="37CC2297" w14:textId="4ECC3E75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pirmoji sunkiosios</w:t>
      </w:r>
      <w:r w:rsidR="0094075B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grandinės pora apima FIXa surišančią Fv sritį, apimančią pirmąjį VH domeną, suporuotą su pirmuoju VL domenu, ir</w:t>
      </w:r>
    </w:p>
    <w:p w14:paraId="2D57BFDE" w14:textId="7D0B573A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antroji sunkiosios</w:t>
      </w:r>
      <w:r w:rsidR="0094075B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grandinės pora apima FX surišančią Fv sritį, apimančią antrąjį VH domeną, suporuotą su antruoju VL domenu, kur</w:t>
      </w:r>
    </w:p>
    <w:p w14:paraId="1A68664B" w14:textId="628D9A76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pirmasis VH domenas apima</w:t>
      </w:r>
      <w:r w:rsidR="0094075B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HCDR</w:t>
      </w:r>
      <w:r w:rsidR="00F51294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rinkinį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F51294" w:rsidRPr="00D5570D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HCDR1, HCDR2 ir HCDR3, kurių aminorūgščių sekos</w:t>
      </w:r>
      <w:r w:rsidR="00F51294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apibrėžtos, k</w:t>
      </w:r>
      <w:r w:rsidR="00F51294" w:rsidRPr="00D5570D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HCDR1 yra SEQ ID Nr. 441, HCDR2 yra SEQ ID Nr. 436 ir HCDR3 yra SEQ ID Nr.</w:t>
      </w:r>
      <w:r w:rsidR="00F51294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433, ir kur pirmasis VH domenas yra bent 95 % </w:t>
      </w:r>
      <w:r w:rsidR="00A250FB" w:rsidRPr="00D5570D">
        <w:rPr>
          <w:rFonts w:ascii="Helvetica" w:eastAsia="Times New Roman" w:hAnsi="Helvetica" w:cs="Arial"/>
          <w:sz w:val="20"/>
          <w:szCs w:val="24"/>
          <w:lang w:eastAsia="lt-LT"/>
        </w:rPr>
        <w:t>tapatu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s N1280H VH domenui SEQ ID Nr. 443</w:t>
      </w:r>
      <w:r w:rsidR="006C07DE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aminorūgščių sekos lyg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>yje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;</w:t>
      </w:r>
    </w:p>
    <w:p w14:paraId="3228F907" w14:textId="157F2D63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antrasis VH domenas apima HCDR rinkinį, apimantį HCDR1, HCDR2 ir HCDR3, kurių aminorūgščių sekos apibrėžtos, kur HCDR1 yra SEQ ID Nr. 598, HCDR2 yra SEQ ID Nr.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467 ir HCDR3 yra SEQ ID Nr. 565, ir kur antrasis VH domenas yra bent 95 % </w:t>
      </w:r>
      <w:r w:rsidR="00A250FB" w:rsidRPr="00D5570D">
        <w:rPr>
          <w:rFonts w:ascii="Helvetica" w:eastAsia="Times New Roman" w:hAnsi="Helvetica" w:cs="Arial"/>
          <w:sz w:val="20"/>
          <w:szCs w:val="24"/>
          <w:lang w:eastAsia="lt-LT"/>
        </w:rPr>
        <w:t>tapatu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s T0999H VH domenui SEQ ID Nr. 632 aminorūgščių sekos lyg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>yje,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</w:p>
    <w:p w14:paraId="68E65AB5" w14:textId="506FD190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pirmasis VL domenas ir antrasis VL domenas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, kiekvienas iš jų, apima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LCDR rinkinį, apimantį LCDR1, LCDR2 ir LCDR3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>, kurių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seko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>s yra apibrėžtos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, kur LCDR1 yra SEQ ID Nr. 6, LCDR2 yra SEQ ID Nr. 7 ir LCDR3 yra SEQ ID Nr. 8</w:t>
      </w:r>
      <w:r w:rsidR="00D6595B" w:rsidRPr="00D5570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 pirmasis VL domenas ir antrasis VL domenas yra bent 95 % </w:t>
      </w:r>
      <w:r w:rsidR="006C07DE" w:rsidRPr="00D5570D">
        <w:rPr>
          <w:rFonts w:ascii="Helvetica" w:eastAsia="Times New Roman" w:hAnsi="Helvetica" w:cs="Arial"/>
          <w:sz w:val="20"/>
          <w:szCs w:val="24"/>
          <w:lang w:eastAsia="lt-LT"/>
        </w:rPr>
        <w:t>tapatūs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0128L VL domenui SEQ ID Nr. 10 aminorūgščių sekos lyg</w:t>
      </w:r>
      <w:r w:rsidR="007852AA" w:rsidRPr="00D5570D">
        <w:rPr>
          <w:rFonts w:ascii="Helvetica" w:eastAsia="Times New Roman" w:hAnsi="Helvetica" w:cs="Arial"/>
          <w:sz w:val="20"/>
          <w:szCs w:val="24"/>
          <w:lang w:eastAsia="lt-LT"/>
        </w:rPr>
        <w:t>yje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CC75647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A3E8A4" w14:textId="2A7F7932" w:rsidR="007852AA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ankstesnį punktą, kur pirmasis VH domenas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852AA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pasižymi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mažiausiai 96 %, mažiausiai 97 %, mažiausiai 98 % arba mažiausiai 99 % </w:t>
      </w:r>
      <w:r w:rsidR="007852AA" w:rsidRPr="00D5570D">
        <w:rPr>
          <w:rFonts w:ascii="Helvetica" w:eastAsia="Times New Roman" w:hAnsi="Helvetica" w:cs="Arial"/>
          <w:sz w:val="20"/>
          <w:szCs w:val="24"/>
          <w:lang w:eastAsia="lt-LT"/>
        </w:rPr>
        <w:t>aminorūgščių sekos tapatumu N1280H VH domenu</w:t>
      </w:r>
      <w:r w:rsidR="006C07DE" w:rsidRPr="00D5570D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7852AA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443.</w:t>
      </w:r>
    </w:p>
    <w:p w14:paraId="31DF06AE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8DBCB2" w14:textId="540FFE0D" w:rsidR="007852AA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3. Bispecifinis antikūnas pagal 1 arba 2 punktą, kur pirmasis VH domenas yra N1441H </w:t>
      </w:r>
      <w:r w:rsidR="007852AA" w:rsidRPr="00D5570D">
        <w:rPr>
          <w:rFonts w:ascii="Helvetica" w:eastAsia="Times New Roman" w:hAnsi="Helvetica" w:cs="Arial"/>
          <w:sz w:val="20"/>
          <w:szCs w:val="24"/>
          <w:lang w:eastAsia="lt-LT"/>
        </w:rPr>
        <w:t>VH domenas SEQ ID Nr. 456.</w:t>
      </w:r>
    </w:p>
    <w:p w14:paraId="04922573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EDD278A" w14:textId="75B34F64" w:rsidR="007852AA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1 arba 2 punktą, kur pirmasis VH domenas yra </w:t>
      </w:r>
      <w:r w:rsidR="007852AA" w:rsidRPr="00D5570D">
        <w:rPr>
          <w:rFonts w:ascii="Helvetica" w:eastAsia="Times New Roman" w:hAnsi="Helvetica" w:cs="Arial"/>
          <w:sz w:val="20"/>
          <w:szCs w:val="24"/>
          <w:lang w:eastAsia="lt-LT"/>
        </w:rPr>
        <w:t>N1280H VH domenas SEQ ID Nr. 443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AF9AC61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1066B5E" w14:textId="57570B95" w:rsidR="00FE381E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bet kurį ankstesnį punktą, kur antrasis VH domenas 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>apima SEQ ID Nr. 632.</w:t>
      </w:r>
    </w:p>
    <w:p w14:paraId="41644731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1073D51" w14:textId="348432F0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bet kurį ankstesnį punktą, kur pirmasis VL domenas ir antrasis VL domenas 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mažiausiai 96 %, mažiausiai 97 %, mažiausiai 98 % arba mažiausiai 99 % aminorūgščių sekos tapatum</w:t>
      </w:r>
      <w:r w:rsidR="006C07DE" w:rsidRPr="00D5570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0128L SEQ ID N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10.</w:t>
      </w:r>
    </w:p>
    <w:p w14:paraId="5C34BC58" w14:textId="77777777" w:rsid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294380" w14:textId="4EA2F242" w:rsidR="00FE381E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bet kurį ankstesnį punktą, kur pirmasis VL domenas ir 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antrasis VL domenas yra </w:t>
      </w:r>
      <w:r w:rsidR="006C07DE" w:rsidRPr="00D5570D">
        <w:rPr>
          <w:rFonts w:ascii="Helvetica" w:eastAsia="Times New Roman" w:hAnsi="Helvetica" w:cs="Arial"/>
          <w:sz w:val="20"/>
          <w:szCs w:val="24"/>
          <w:lang w:eastAsia="lt-LT"/>
        </w:rPr>
        <w:t>tapatūs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aminorūgščių seką.</w:t>
      </w:r>
    </w:p>
    <w:p w14:paraId="4BFBB953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A6285D6" w14:textId="1301836A" w:rsidR="00FE381E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7 punktą, kur pirmasis VL domenas ir antrasis VL 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>domenas apima 0325L aminorūgščių seką SEQ ID Nr. 416.</w:t>
      </w:r>
    </w:p>
    <w:p w14:paraId="3C1B4051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B3D3627" w14:textId="7C7F2FD9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ankstesnį punktą, kur kiekviena sunkiosios</w:t>
      </w:r>
      <w:r w:rsidR="00FE381E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grandinės pora papildomai apima CL pastovų</w:t>
      </w:r>
      <w:r w:rsidR="00184405" w:rsidRPr="00D5570D">
        <w:rPr>
          <w:rFonts w:ascii="Helvetica" w:eastAsia="Times New Roman" w:hAnsi="Helvetica" w:cs="Arial"/>
          <w:sz w:val="20"/>
          <w:szCs w:val="24"/>
          <w:lang w:eastAsia="lt-LT"/>
        </w:rPr>
        <w:t>jį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domeną, suporuotą su CH1 domenu.</w:t>
      </w:r>
    </w:p>
    <w:p w14:paraId="365BA286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E8B99C2" w14:textId="7476D0E8" w:rsidR="0018440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10. Bispecifinis antikūnas pagal bet kurį ankstesnį punktą, kur sunkiosios</w:t>
      </w:r>
      <w:r w:rsidR="00184405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</w:t>
      </w:r>
      <w:r w:rsidR="00184405" w:rsidRPr="00D5570D">
        <w:rPr>
          <w:rFonts w:ascii="Helvetica" w:eastAsia="Times New Roman" w:hAnsi="Helvetica" w:cs="Arial"/>
          <w:sz w:val="20"/>
          <w:szCs w:val="24"/>
          <w:lang w:eastAsia="lt-LT"/>
        </w:rPr>
        <w:t>grandinės poros apima bendrą lengvąją grandinę.</w:t>
      </w:r>
    </w:p>
    <w:p w14:paraId="0D395982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783293B" w14:textId="6C2B8234" w:rsidR="0018440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10 punktą, kur bendr</w:t>
      </w:r>
      <w:r w:rsidR="00184405" w:rsidRPr="00D5570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lengvoji grandinė apima 0128L </w:t>
      </w:r>
      <w:r w:rsidR="00184405" w:rsidRPr="00D5570D">
        <w:rPr>
          <w:rFonts w:ascii="Helvetica" w:eastAsia="Times New Roman" w:hAnsi="Helvetica" w:cs="Arial"/>
          <w:sz w:val="20"/>
          <w:szCs w:val="24"/>
          <w:lang w:eastAsia="lt-LT"/>
        </w:rPr>
        <w:t>lengvosios grandinės CL aminorūgščių seką SEQ ID Nr. 146.</w:t>
      </w:r>
    </w:p>
    <w:p w14:paraId="5C2EE4A6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82D005" w14:textId="0E06938B" w:rsidR="0018440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11 punktą, kur bendra lengvoji grandinė yra 0325L </w:t>
      </w:r>
      <w:r w:rsidR="00184405" w:rsidRPr="00D5570D">
        <w:rPr>
          <w:rFonts w:ascii="Helvetica" w:eastAsia="Times New Roman" w:hAnsi="Helvetica" w:cs="Arial"/>
          <w:sz w:val="20"/>
          <w:szCs w:val="24"/>
          <w:lang w:eastAsia="lt-LT"/>
        </w:rPr>
        <w:t>lengvoji grandinė SEQ ID Nr. 414.</w:t>
      </w:r>
    </w:p>
    <w:p w14:paraId="2D56E9CE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56E99E9" w14:textId="7CEC029D" w:rsidR="00EB3C82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13. Bispecifinis antikūnas pagal bet kurį ankstesnį punktą, kur kiekvienos sunkiosios </w:t>
      </w:r>
      <w:bookmarkStart w:id="0" w:name="_Hlk92146435"/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ir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</w:t>
      </w:r>
      <w:bookmarkEnd w:id="0"/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poros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sunkioji grandinė apima sunkiosios grandinės pastovią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 pirmoji ir antroji sunkiosios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 lengvosios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grandinės poros susijungia su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>formuo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damos tetramerinį imunoglobuliną 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>dėka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grandinės pastovių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>jų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B3C82" w:rsidRPr="00D5570D">
        <w:rPr>
          <w:rFonts w:ascii="Helvetica" w:eastAsia="Times New Roman" w:hAnsi="Helvetica" w:cs="Arial"/>
          <w:sz w:val="20"/>
          <w:szCs w:val="24"/>
          <w:lang w:eastAsia="lt-LT"/>
        </w:rPr>
        <w:t>sričių dimerizacijos.</w:t>
      </w:r>
    </w:p>
    <w:p w14:paraId="762B0101" w14:textId="77777777" w:rsidR="00EB3C82" w:rsidRPr="00D5570D" w:rsidRDefault="00EB3C82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01BB86C" w14:textId="7A54410D" w:rsidR="007D7212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797250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13 punktą, kur pirmos</w:t>
      </w:r>
      <w:r w:rsidR="007D7212" w:rsidRPr="00D5570D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</w:t>
      </w:r>
      <w:r w:rsidR="00AA3C3E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grandinės poros sunkiosios grandinės pastovioji sritis apima </w:t>
      </w:r>
      <w:r w:rsidR="00715D43" w:rsidRPr="00D5570D">
        <w:rPr>
          <w:rFonts w:ascii="Helvetica" w:eastAsia="Times New Roman" w:hAnsi="Helvetica" w:cs="Arial"/>
          <w:sz w:val="20"/>
          <w:szCs w:val="24"/>
          <w:lang w:eastAsia="lt-LT"/>
        </w:rPr>
        <w:t>skirtingą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nei antrosios sunkiosios</w:t>
      </w:r>
      <w:r w:rsidR="007D7212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grandinės poros sunkiosios grandinės pastovioji sritis, kur skirtingos aminorūgščių sekos yra suk</w:t>
      </w:r>
      <w:r w:rsidR="007D7212" w:rsidRPr="00D5570D">
        <w:rPr>
          <w:rFonts w:ascii="Helvetica" w:eastAsia="Times New Roman" w:hAnsi="Helvetica" w:cs="Arial"/>
          <w:sz w:val="20"/>
          <w:szCs w:val="24"/>
          <w:lang w:eastAsia="lt-LT"/>
        </w:rPr>
        <w:t>onstruotos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</w:t>
      </w:r>
      <w:r w:rsidR="007D7212" w:rsidRPr="00D5570D">
        <w:rPr>
          <w:rFonts w:ascii="Helvetica" w:eastAsia="Times New Roman" w:hAnsi="Helvetica" w:cs="Arial"/>
          <w:sz w:val="20"/>
          <w:szCs w:val="24"/>
          <w:lang w:eastAsia="lt-LT"/>
        </w:rPr>
        <w:t>grandinės pastovių</w:t>
      </w:r>
      <w:r w:rsidR="00715D43" w:rsidRPr="00D5570D">
        <w:rPr>
          <w:rFonts w:ascii="Helvetica" w:eastAsia="Times New Roman" w:hAnsi="Helvetica" w:cs="Arial"/>
          <w:sz w:val="20"/>
          <w:szCs w:val="24"/>
          <w:lang w:eastAsia="lt-LT"/>
        </w:rPr>
        <w:t>jų</w:t>
      </w:r>
      <w:r w:rsidR="007D7212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sričių heterodimerizacijo</w:t>
      </w:r>
      <w:r w:rsidR="00715D43" w:rsidRPr="00D5570D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7D7212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palengvinimui.</w:t>
      </w:r>
    </w:p>
    <w:p w14:paraId="0D5078ED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100413E" w14:textId="37CC5275" w:rsidR="008C2543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14 punktą, kur sunkiosios grandinės pastovios sritys </w:t>
      </w:r>
      <w:r w:rsidR="00AA4006" w:rsidRPr="00D5570D">
        <w:rPr>
          <w:rFonts w:ascii="Helvetica" w:eastAsia="Times New Roman" w:hAnsi="Helvetica" w:cs="Arial"/>
          <w:sz w:val="20"/>
          <w:szCs w:val="24"/>
          <w:lang w:eastAsia="lt-LT"/>
        </w:rPr>
        <w:t>apima „gumbelių į duobutes“ mutacijas arba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25C7C" w:rsidRPr="00D5570D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r w:rsidR="00AA4006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porų</w:t>
      </w:r>
      <w:r w:rsidR="008C2543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krūvį</w:t>
      </w:r>
      <w:r w:rsidR="00AA4006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mutacijas.</w:t>
      </w:r>
    </w:p>
    <w:p w14:paraId="08B98A87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1AC9AD4" w14:textId="510404FB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Bispecifinis antikūnas pagal 14 punktą, kur vienos (pvz., pirmosios) sunkiosios </w:t>
      </w:r>
      <w:r w:rsidR="00A25C7C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ir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lengvosios grandinės poros sunkiosios grandinės pastovioji sritis yra žmogaus IgG4 pastovi</w:t>
      </w:r>
      <w:r w:rsidR="00A25C7C" w:rsidRPr="00D5570D">
        <w:rPr>
          <w:rFonts w:ascii="Helvetica" w:eastAsia="Times New Roman" w:hAnsi="Helvetica" w:cs="Arial"/>
          <w:sz w:val="20"/>
          <w:szCs w:val="24"/>
          <w:lang w:eastAsia="lt-LT"/>
        </w:rPr>
        <w:t>oji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sritis, apimanti pak</w:t>
      </w:r>
      <w:r w:rsidR="00A25C7C" w:rsidRPr="00D5570D">
        <w:rPr>
          <w:rFonts w:ascii="Helvetica" w:eastAsia="Times New Roman" w:hAnsi="Helvetica" w:cs="Arial"/>
          <w:sz w:val="20"/>
          <w:szCs w:val="24"/>
          <w:lang w:eastAsia="lt-LT"/>
        </w:rPr>
        <w:t>eitim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ą K439E, ir kur kitos</w:t>
      </w:r>
      <w:r w:rsidR="00A25C7C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(pvz., antrosios)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ir lengvosios grandinės poros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sunkiosios grandinės pastovioji sritis yra IgG4 sritis, apimanti pak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>eitim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ą E356K, kur pastovi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srities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numeracija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E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numeravimo sistemą.</w:t>
      </w:r>
    </w:p>
    <w:p w14:paraId="223FE3E8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257F950" w14:textId="08170324" w:rsidR="003C466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iš 13-16 punktų, kur vienos arba abiejų sunkiųjų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lengvųjų grandinių porų sunkiosios grandinės pastovi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>oji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yra žmogaus IgG4 pastovi</w:t>
      </w:r>
      <w:r w:rsidR="0055647D" w:rsidRPr="00D5570D">
        <w:rPr>
          <w:rFonts w:ascii="Helvetica" w:eastAsia="Times New Roman" w:hAnsi="Helvetica" w:cs="Arial"/>
          <w:sz w:val="20"/>
          <w:szCs w:val="24"/>
          <w:lang w:eastAsia="lt-LT"/>
        </w:rPr>
        <w:t>oji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sritis, apimanti pakeitimą S228P, kur pastovios</w:t>
      </w:r>
      <w:r w:rsidR="003C4665" w:rsidRPr="00D5570D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srities numeracija </w:t>
      </w:r>
      <w:r w:rsidR="003C4665" w:rsidRPr="00D5570D">
        <w:rPr>
          <w:rFonts w:ascii="Helvetica" w:eastAsia="Times New Roman" w:hAnsi="Helvetica" w:cs="Arial"/>
          <w:sz w:val="20"/>
          <w:szCs w:val="24"/>
          <w:lang w:eastAsia="lt-LT"/>
        </w:rPr>
        <w:t>atitinka EU numeravimo sistemą.</w:t>
      </w:r>
    </w:p>
    <w:p w14:paraId="75E036F8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AF89534" w14:textId="35A9BF75" w:rsidR="003C466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iš 13-17 punktų, kur vienos (pvz., pirmosios) sunkiosios</w:t>
      </w:r>
      <w:r w:rsidR="003C4665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lengvosios grandinės poros sunkiosios grandinės pastovioji sritis apima SEQ ID Nr. 409 ir kitos </w:t>
      </w:r>
      <w:r w:rsidR="003C4665" w:rsidRPr="00D5570D">
        <w:rPr>
          <w:rFonts w:ascii="Helvetica" w:eastAsia="Times New Roman" w:hAnsi="Helvetica" w:cs="Arial"/>
          <w:sz w:val="20"/>
          <w:szCs w:val="24"/>
          <w:lang w:eastAsia="lt-LT"/>
        </w:rPr>
        <w:t>(pvz., antrosios) sunkiosios ir lengvosios grandinės poros sunkiosios grandinės pastovioji sritis apima SEQ ID Nr. 410.</w:t>
      </w:r>
    </w:p>
    <w:p w14:paraId="4C22AC9E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336EC7F" w14:textId="7D93C560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19.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iš 13-18 punktų, apimantis pirmąją sunkiąją grandinę, apimančią pirmo</w:t>
      </w:r>
      <w:r w:rsidR="003C4665" w:rsidRPr="00D5570D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VH domeno aminorūgščių seką SEQ ID Nr. 456 arba SEQ ID Nr. 443</w:t>
      </w:r>
      <w:r w:rsidR="003C4665" w:rsidRPr="00D5570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4D1BA6F7" w14:textId="10A08DA4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antrąją sunkiąją grandinę, apimančią ant</w:t>
      </w:r>
      <w:r w:rsidR="001066EF" w:rsidRPr="00D5570D">
        <w:rPr>
          <w:rFonts w:ascii="Helvetica" w:eastAsia="Times New Roman" w:hAnsi="Helvetica" w:cs="Arial"/>
          <w:sz w:val="20"/>
          <w:szCs w:val="24"/>
          <w:lang w:eastAsia="lt-LT"/>
        </w:rPr>
        <w:t>rojo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VH domeno aminorūgščių seką SEQ ID Nr. 632, ir</w:t>
      </w:r>
    </w:p>
    <w:p w14:paraId="38E141F9" w14:textId="6B5FF7C3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bendrą lengvąją grandinę, apimančią VL domeno aminorūgščių seką SEQ ID Nr. 416.</w:t>
      </w:r>
    </w:p>
    <w:p w14:paraId="5BB0D3F9" w14:textId="77777777" w:rsidR="006D736A" w:rsidRPr="00D5570D" w:rsidRDefault="006D736A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3F639D0" w14:textId="2F4E4A7B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20.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iš 13-19 punktų, apimantis</w:t>
      </w:r>
    </w:p>
    <w:p w14:paraId="7814D213" w14:textId="0A022B38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pirm</w:t>
      </w:r>
      <w:r w:rsidR="001066EF" w:rsidRPr="00D5570D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</w:t>
      </w:r>
      <w:r w:rsidR="001066EF" w:rsidRPr="00D5570D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1066EF" w:rsidRPr="00D5570D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426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51CC2A39" w14:textId="77777777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antrąją sunkiąją grandinę, apimančią aminorūgščių seką SEQ ID Nr. 421, ir</w:t>
      </w:r>
    </w:p>
    <w:p w14:paraId="207CA859" w14:textId="6944FD51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bendrą lengvąją grandinę, apimančią aminorūgščių seką SEQ ID Nr. 414.</w:t>
      </w:r>
    </w:p>
    <w:p w14:paraId="16B6F70D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3B69A2C" w14:textId="3EE1106C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21.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iš 13-19 punktų, apimantis</w:t>
      </w:r>
    </w:p>
    <w:p w14:paraId="7F456133" w14:textId="5D4B5983" w:rsidR="008D11C5" w:rsidRPr="00D5570D" w:rsidRDefault="008B076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pirmąją sunkiąją grandinę</w:t>
      </w:r>
      <w:r w:rsidR="008D11C5" w:rsidRPr="00D5570D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="008D11C5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419,</w:t>
      </w:r>
    </w:p>
    <w:p w14:paraId="23AECBDA" w14:textId="77777777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antrąją sunkiąją grandinę, apimančią aminorūgščių seką SEQ ID Nr. 421, ir</w:t>
      </w:r>
    </w:p>
    <w:p w14:paraId="03CF3A73" w14:textId="04307369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bendrą lengvąją grandinę, apimančią aminorūgščių seką SEQ ID Nr. 414.</w:t>
      </w:r>
    </w:p>
    <w:p w14:paraId="51C833C6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0E53FBC" w14:textId="77777777" w:rsidR="00621B72" w:rsidRDefault="008D11C5" w:rsidP="00621B7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22.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Bispecifinis antikūnas pagal bet kurį iš 1-21 punktų, kur antikūnas yra žmogaus IgG.</w:t>
      </w:r>
    </w:p>
    <w:p w14:paraId="54C9109A" w14:textId="77777777" w:rsidR="00621B72" w:rsidRDefault="00621B72" w:rsidP="00621B7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FA37DD3" w14:textId="05CAEBEA" w:rsidR="008D11C5" w:rsidRPr="00D5570D" w:rsidRDefault="008D11C5" w:rsidP="00621B7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23. Bispecifinis antikūnas pagal 22 punktą, kur antikūnas yra žmogaus IgG4.</w:t>
      </w:r>
    </w:p>
    <w:p w14:paraId="59881ADE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1E8D9EC" w14:textId="77777777" w:rsidR="00621B72" w:rsidRDefault="008D11C5" w:rsidP="00621B7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24.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Išskirta nukleorūgštis, koduojanti antikūną pagal bet kurį ankstesnį punktą.</w:t>
      </w:r>
    </w:p>
    <w:p w14:paraId="673F0274" w14:textId="77777777" w:rsidR="00621B72" w:rsidRDefault="00621B72" w:rsidP="00621B7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31194F" w14:textId="0CFD29F3" w:rsidR="008D11C5" w:rsidRPr="00D5570D" w:rsidRDefault="008D11C5" w:rsidP="00621B7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25.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šeimininkė </w:t>
      </w:r>
      <w:r w:rsidRPr="00D5570D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 vitro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 apimanti rekombinantinę DNR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koduojančią</w:t>
      </w:r>
    </w:p>
    <w:p w14:paraId="6CA4E95A" w14:textId="0E0E31F3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bookmarkStart w:id="1" w:name="_Hlk92194110"/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sunki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1"/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pirmąjį VH domeną, kaip apibrėžta bet kuriame iš 1-23 punktų,</w:t>
      </w:r>
    </w:p>
    <w:p w14:paraId="0D991311" w14:textId="773202E4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sunkiąją grandinę,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apiman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antrąjį VH domeną, kaip apibrėžta bet kuriame iš 1-23 punktų, ir</w:t>
      </w:r>
    </w:p>
    <w:p w14:paraId="447D1FE8" w14:textId="557B9D00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antikūno lengv</w:t>
      </w:r>
      <w:r w:rsidR="008B0765" w:rsidRPr="00D5570D">
        <w:rPr>
          <w:rFonts w:ascii="Helvetica" w:eastAsia="Times New Roman" w:hAnsi="Helvetica" w:cs="Arial"/>
          <w:sz w:val="20"/>
          <w:szCs w:val="24"/>
          <w:lang w:eastAsia="lt-LT"/>
        </w:rPr>
        <w:t>ąją grandinę, apimančią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pirmąjį arba antrąjį VL domeną, kaip apibrėžta bet kuriame iš 1-23 punktų.</w:t>
      </w:r>
    </w:p>
    <w:p w14:paraId="0242E77D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678F6D6" w14:textId="4F3BD438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26.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Ląstelė-šeimininkė pagal 25 punktą, apimanti rekombinantinę DNR, koduojančią</w:t>
      </w:r>
    </w:p>
    <w:p w14:paraId="79A2429C" w14:textId="6DE48CE7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ąją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426 arba SEQ ID Nr. 419,</w:t>
      </w:r>
    </w:p>
    <w:p w14:paraId="60E256D4" w14:textId="77777777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antrąją sunkiąją grandinę, apimančią aminorūgščių seką SEQ ID Nr. 421, ir</w:t>
      </w:r>
    </w:p>
    <w:p w14:paraId="6629DC1A" w14:textId="5BB75BC2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bendrą lengvąją grandinę, apimančią aminorūgščių seką SEQ ID Nr. 414.</w:t>
      </w:r>
    </w:p>
    <w:p w14:paraId="244807E8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46580EB" w14:textId="2668B7A7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27.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Rinkinys, skirtas bispecifin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1-23 punktų,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gamybai,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apimantis</w:t>
      </w:r>
    </w:p>
    <w:p w14:paraId="350F81ED" w14:textId="79F061C4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="00BD0284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sunkiąją grandinę, apimančią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pirmąjį VH domeną, kaip apibrėžta bet kuriame iš 1-23 punktų, arba nukleorūgštį, koduojančią minėtą sunkiąją grandinę,</w:t>
      </w:r>
    </w:p>
    <w:p w14:paraId="2EF830AC" w14:textId="06E51BC5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="00B65326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sunkiąją grandinę, apimančią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antrąjį VH domeną, kaip apibrėžta bet kuriame iš 1-23 punktų, arba nukleorūgštį, koduojančią minėtą sunkiąją grandinę;</w:t>
      </w:r>
    </w:p>
    <w:p w14:paraId="02700C95" w14:textId="24B3A520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="00B65326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lengvąją grandinę, apimančią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pirmąjį VL domeną, kaip apibrėžta bet kuriame iš 1-23 punktų, arba nukleorūgštį, koduojančią minėtą lengvąją grandinę, ir</w:t>
      </w:r>
    </w:p>
    <w:p w14:paraId="1F9F584B" w14:textId="7A64255F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antikūno</w:t>
      </w:r>
      <w:r w:rsidR="00B65326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lengvąją grandinę, apimančią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antrąjį VL domeną, kaip apibrėžta bet kuriame iš 1-23 punktų, arba nukleorūgštį, koduojančią minėtą lengvąją grandinę.</w:t>
      </w:r>
    </w:p>
    <w:p w14:paraId="6EFAA266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9FD217" w14:textId="3EEEEA2C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28.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Rinkinys pagal 27 punktą, apimantis</w:t>
      </w:r>
    </w:p>
    <w:p w14:paraId="684B6F4E" w14:textId="77777777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pirmąją sunkiąją grandinę, apimančią aminorūgščių seką SEQ ID Nr. 426 arba SEQ ID Nr. 419, arba nukleorūgštį, koduojančią minėtą pirmąją sunkiąją grandinę,</w:t>
      </w:r>
    </w:p>
    <w:p w14:paraId="30F9F0F5" w14:textId="77777777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antrąją sunkiąją grandinę, apimančią aminorūgščių seką SEQ ID Nr. 421, arba nukleorūgštį, koduojančią minėtą antrąją sunkiąją grandinę, ir</w:t>
      </w:r>
    </w:p>
    <w:p w14:paraId="7F9DB6E0" w14:textId="20350AAF" w:rsidR="008D11C5" w:rsidRPr="00D5570D" w:rsidRDefault="008D11C5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bendrą lengvąją grandinę, apimančią aminorūgščių seką SEQ ID Nr. 414, arba nukleorūgštį, koduojančią minėtą bendrą lengvąją grandinę.</w:t>
      </w:r>
    </w:p>
    <w:p w14:paraId="2DE79725" w14:textId="77777777" w:rsidR="00D5570D" w:rsidRPr="00D5570D" w:rsidRDefault="00D5570D" w:rsidP="00D5570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EA36B15" w14:textId="289E296E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29.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Bispecifinio antikūno pagal bet kurį iš 1-23 punktų gamybos būdas, apimantis ląstel</w:t>
      </w:r>
      <w:r w:rsidR="00B65326" w:rsidRPr="00D5570D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-šeiminink</w:t>
      </w:r>
      <w:r w:rsidR="00B65326" w:rsidRPr="00D5570D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25 arba 26 punktą </w:t>
      </w:r>
      <w:r w:rsidR="00B65326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kultivavimą </w:t>
      </w:r>
      <w:r w:rsidR="00784991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sąlygomis, skirtomis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bispecifinio antikūno</w:t>
      </w:r>
      <w:r w:rsidR="00784991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raiškai</w:t>
      </w:r>
      <w:r w:rsidR="006D736A" w:rsidRPr="00D5570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ir bispecifinio antikūno išgavimą iš ląstelės</w:t>
      </w:r>
      <w:r w:rsidR="00784991" w:rsidRPr="00D5570D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šeimininkės kultūros.</w:t>
      </w:r>
    </w:p>
    <w:p w14:paraId="56A82345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4FF4B8" w14:textId="0B5E04C2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30.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Kompozicija, apimanti bispecifinį antikūną pagal bet kurį iš 1-23 punktų arba i</w:t>
      </w:r>
      <w:r w:rsidR="00784991" w:rsidRPr="00D5570D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tą nukleorūgštį pagal 24 punktą, tirpale su farmaciniu požiūriu priimtin</w:t>
      </w:r>
      <w:r w:rsidR="00784991" w:rsidRPr="00D5570D">
        <w:rPr>
          <w:rFonts w:ascii="Helvetica" w:eastAsia="Times New Roman" w:hAnsi="Helvetica" w:cs="Arial"/>
          <w:sz w:val="20"/>
          <w:szCs w:val="24"/>
          <w:lang w:eastAsia="lt-LT"/>
        </w:rPr>
        <w:t>a pagalbine medžiaga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0E92F2A" w14:textId="77777777" w:rsidR="00D5570D" w:rsidRPr="00D5570D" w:rsidRDefault="00D5570D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6C2CDC" w14:textId="22B49BC8" w:rsidR="008D11C5" w:rsidRPr="00D5570D" w:rsidRDefault="008D11C5" w:rsidP="00D5570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31.</w:t>
      </w:r>
      <w:r w:rsidR="00D5570D"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>Kompozicija pagal 30 punktą, skirta naudoti žmogaus kūno gydym</w:t>
      </w:r>
      <w:r w:rsidR="00784991" w:rsidRPr="00D5570D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D5570D">
        <w:rPr>
          <w:rFonts w:ascii="Helvetica" w:eastAsia="Times New Roman" w:hAnsi="Helvetica" w:cs="Arial"/>
          <w:sz w:val="20"/>
          <w:szCs w:val="24"/>
          <w:lang w:eastAsia="lt-LT"/>
        </w:rPr>
        <w:t xml:space="preserve"> terapiniu būdu.</w:t>
      </w:r>
    </w:p>
    <w:sectPr w:rsidR="008D11C5" w:rsidRPr="00D5570D" w:rsidSect="00D5570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5FAE" w14:textId="77777777" w:rsidR="00914474" w:rsidRDefault="00914474" w:rsidP="00774B87">
      <w:pPr>
        <w:spacing w:after="0" w:line="240" w:lineRule="auto"/>
      </w:pPr>
      <w:r>
        <w:separator/>
      </w:r>
    </w:p>
  </w:endnote>
  <w:endnote w:type="continuationSeparator" w:id="0">
    <w:p w14:paraId="7DA1A83C" w14:textId="77777777" w:rsidR="00914474" w:rsidRDefault="00914474" w:rsidP="0077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F9C8" w14:textId="77777777" w:rsidR="00914474" w:rsidRDefault="00914474" w:rsidP="00774B87">
      <w:pPr>
        <w:spacing w:after="0" w:line="240" w:lineRule="auto"/>
      </w:pPr>
      <w:r>
        <w:separator/>
      </w:r>
    </w:p>
  </w:footnote>
  <w:footnote w:type="continuationSeparator" w:id="0">
    <w:p w14:paraId="1882235F" w14:textId="77777777" w:rsidR="00914474" w:rsidRDefault="00914474" w:rsidP="00774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C5"/>
    <w:rsid w:val="00051F30"/>
    <w:rsid w:val="000B4BA8"/>
    <w:rsid w:val="001066EF"/>
    <w:rsid w:val="00184405"/>
    <w:rsid w:val="003C4665"/>
    <w:rsid w:val="0055647D"/>
    <w:rsid w:val="00621B72"/>
    <w:rsid w:val="006A7D22"/>
    <w:rsid w:val="006C07DE"/>
    <w:rsid w:val="006D736A"/>
    <w:rsid w:val="007158EC"/>
    <w:rsid w:val="00715D43"/>
    <w:rsid w:val="007523E4"/>
    <w:rsid w:val="00774B87"/>
    <w:rsid w:val="00784991"/>
    <w:rsid w:val="007852AA"/>
    <w:rsid w:val="00797250"/>
    <w:rsid w:val="007D7212"/>
    <w:rsid w:val="008B0765"/>
    <w:rsid w:val="008C2543"/>
    <w:rsid w:val="008D11C5"/>
    <w:rsid w:val="00914474"/>
    <w:rsid w:val="0094075B"/>
    <w:rsid w:val="009F1969"/>
    <w:rsid w:val="00A250FB"/>
    <w:rsid w:val="00A25C7C"/>
    <w:rsid w:val="00AA3AC3"/>
    <w:rsid w:val="00AA3C3E"/>
    <w:rsid w:val="00AA4006"/>
    <w:rsid w:val="00B02984"/>
    <w:rsid w:val="00B33627"/>
    <w:rsid w:val="00B65326"/>
    <w:rsid w:val="00BD0284"/>
    <w:rsid w:val="00D5570D"/>
    <w:rsid w:val="00D6595B"/>
    <w:rsid w:val="00DC4789"/>
    <w:rsid w:val="00E64E25"/>
    <w:rsid w:val="00E73C27"/>
    <w:rsid w:val="00EB3C82"/>
    <w:rsid w:val="00EC21E3"/>
    <w:rsid w:val="00F51294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F6EA2"/>
  <w15:chartTrackingRefBased/>
  <w15:docId w15:val="{2D5C22CA-8BA7-4984-9374-DEDBAEEC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4B87"/>
  </w:style>
  <w:style w:type="paragraph" w:styleId="Porat">
    <w:name w:val="footer"/>
    <w:basedOn w:val="prastasis"/>
    <w:link w:val="PoratDiagrama"/>
    <w:uiPriority w:val="99"/>
    <w:unhideWhenUsed/>
    <w:rsid w:val="0077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1241</Words>
  <Characters>7424</Characters>
  <Application>Microsoft Office Word</Application>
  <DocSecurity>0</DocSecurity>
  <Lines>142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dcterms:created xsi:type="dcterms:W3CDTF">2022-01-04T12:51:00Z</dcterms:created>
  <dcterms:modified xsi:type="dcterms:W3CDTF">2022-01-06T06:44:00Z</dcterms:modified>
</cp:coreProperties>
</file>