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E29C3" w14:textId="77777777" w:rsidR="00062DDB" w:rsidRPr="00036AB7" w:rsidRDefault="00062DDB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1. Diabeto valdymo sistema, apimanti:</w:t>
      </w:r>
    </w:p>
    <w:p w14:paraId="31C2DE43" w14:textId="0EC8E7F3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gliukozės stebėjimo įrenginį (130), pritaikytą belaidžiu būdu perduoti gliukozės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duomenis;</w:t>
      </w:r>
    </w:p>
    <w:p w14:paraId="2236299C" w14:textId="4ACE0C99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bent vieną dozės fiksavimo įrenginį, pritaikytą belaidžiu būdu priimti gliukozės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duomenis iš gliukozės stebėjimo įrenginio tik tada, kai jį inicijuoja vartotojas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sąveikaujant su dozės fiksavimo įrenginiu, ir nustatyti insulino dozę, suleidžiamą iš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insulino tiekimo įrenginio, dozės fiksavimo įrenginys, pritaikytas pateikti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rekomenduojamą insulino dozę, kai gauna gliukozės duomenis; ir</w:t>
      </w:r>
    </w:p>
    <w:p w14:paraId="618B3BF1" w14:textId="51DE5E84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bent vieną priedą belaidžiu ryšiu su gliukozės stebėjimo įrenginiu ir pritaikytą teikti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bent vieną perspėjimo signalą arba perspėjimą, remiantis gliukozės duomenimis, kur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bent vienas priedas yra atskirtas nuo bent vieno dozės fiksavimo įrenginio.</w:t>
      </w:r>
    </w:p>
    <w:p w14:paraId="2ACAA1C6" w14:textId="77777777" w:rsidR="00036AB7" w:rsidRPr="00036AB7" w:rsidRDefault="00036AB7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084F7F6" w14:textId="716FD721" w:rsidR="00062DDB" w:rsidRPr="00036AB7" w:rsidRDefault="00062DDB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2. Diabeto valdymo sistema pagal 1 punktą, kur sistema papildomai apima mobiliąją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programą (104) išmaniajame telefone arba asmeniniame kompiuterių įrenginyje, mobilioji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programa pritaikyta priimti belaidžius ryšius iš mažiausiai vieno dozės fiksavimo įrenginio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ir mažiausiai vieną priedą.</w:t>
      </w:r>
    </w:p>
    <w:p w14:paraId="163CA030" w14:textId="77777777" w:rsidR="00036AB7" w:rsidRPr="00036AB7" w:rsidRDefault="00036AB7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317E5A34" w14:textId="6D78F393" w:rsidR="00062DDB" w:rsidRPr="00036AB7" w:rsidRDefault="00062DDB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3. Diabeto valdymo sistema pagal 1 punktą, kur bent vienas priedas yra pritaikytas gauti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dozės fiksavimo informaciją iš mažiausiai vieno dozės fiksavimo įrenginio, tiesiogiai arba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netiesiogiai, ir naudoti dozės fiksavimo informaciją, nustatant, ar skelbti didelio gliukozės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kiekio pavojaus signalą arba įspėjimą.</w:t>
      </w:r>
    </w:p>
    <w:p w14:paraId="7CE177D7" w14:textId="77777777" w:rsidR="00036AB7" w:rsidRPr="00036AB7" w:rsidRDefault="00036AB7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4B3CE5E6" w14:textId="35738B92" w:rsidR="00062DDB" w:rsidRPr="00036AB7" w:rsidRDefault="00062DDB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4. Diabeto valdymo sistema pagal 1 punktą, kur mažiausiai vienas dozės fiksavimo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įrenginys apima bent dalį insulino švirkštimo rašiklio.</w:t>
      </w:r>
    </w:p>
    <w:p w14:paraId="7B755258" w14:textId="77777777" w:rsidR="00036AB7" w:rsidRPr="00036AB7" w:rsidRDefault="00036AB7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67358BB4" w14:textId="19DBD19C" w:rsidR="00062DDB" w:rsidRPr="00036AB7" w:rsidRDefault="00062DDB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5. Diabeto valdymo sistema pagal 1 punktą, kur mažiausiai vienas dozės fiksavimo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įrenginys yra rašiklio dangtelis (112, 122).</w:t>
      </w:r>
    </w:p>
    <w:p w14:paraId="0E44DF6E" w14:textId="77777777" w:rsidR="00036AB7" w:rsidRPr="00036AB7" w:rsidRDefault="00036AB7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5D3F83D7" w14:textId="7372A60A" w:rsidR="00062DDB" w:rsidRPr="00036AB7" w:rsidRDefault="00062DDB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6. Diabeto valdymo sistema pagal 5 punktą, kur rašiklio dangtelis turi vartotojo sąsają,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apimančią daugybę vartotojo pasirenkamų piktogramų arba mygtukų, kurių kiekvienas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reiškia skirtingas patiekalo charakteristikas arba meniu pasirinkimus.</w:t>
      </w:r>
    </w:p>
    <w:p w14:paraId="365C7063" w14:textId="77777777" w:rsidR="00036AB7" w:rsidRPr="00036AB7" w:rsidRDefault="00036AB7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7FC80647" w14:textId="77777777" w:rsidR="00062DDB" w:rsidRPr="00036AB7" w:rsidRDefault="00062DDB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7. Diabeto valdymo sistema pagal 5 punktą, kur švirkštimo priemonės dangtelis apima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atmintį vienam arba daugiau vartotojo specifinių dozavimo parametrų saugojimui;</w:t>
      </w:r>
      <w:r w:rsidRPr="00036AB7">
        <w:rPr>
          <w:rFonts w:ascii="Helvetica" w:hAnsi="Helvetica" w:cs="Helvetica"/>
          <w:sz w:val="20"/>
        </w:rPr>
        <w:t xml:space="preserve"> </w:t>
      </w:r>
    </w:p>
    <w:p w14:paraId="6DB51011" w14:textId="250D06BB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ir pasirinktinai</w:t>
      </w:r>
    </w:p>
    <w:p w14:paraId="5CC2313D" w14:textId="77C923AF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kur rašiklio dangtelis turi procesorių, kuris palaiko ryšį su atmintimi ir yra pritaikytas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gliukozės kiekio kraujyje duomenims gauti, procesorius yra pritaikytas nustatyti pradines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valgio charakteristikas, susietas su kiekviena iš daugybės naudotojo pasirenkamų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piktogramų arba mygtukų, remiantis bent vienu iš naudotojui būdingų dozavimo parametrų,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procesorius taip pat yra pritaikytas atnaujinti valgio charakteristikas, susietas su kiekviena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iš daugybės naudotojo pasirenkamų piktogramų arba mygtukų, remiantis gliukozės kiekio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kraujyje duomenimis.</w:t>
      </w:r>
    </w:p>
    <w:p w14:paraId="0D58ABF0" w14:textId="77777777" w:rsidR="00036AB7" w:rsidRPr="00036AB7" w:rsidRDefault="00036AB7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0912FE4" w14:textId="4899E840" w:rsidR="00062DDB" w:rsidRPr="00036AB7" w:rsidRDefault="00062DDB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8. Diabeto valdymo sistema, pagal bet kurį iš 1</w:t>
      </w:r>
      <w:r w:rsidRPr="00036AB7">
        <w:rPr>
          <w:rFonts w:ascii="Helvetica" w:hAnsi="Helvetica" w:cs="Helvetica"/>
          <w:sz w:val="20"/>
        </w:rPr>
        <w:t>–</w:t>
      </w:r>
      <w:r w:rsidRPr="00036AB7">
        <w:rPr>
          <w:rFonts w:ascii="Helvetica" w:hAnsi="Helvetica" w:cs="Helvetica"/>
          <w:sz w:val="20"/>
        </w:rPr>
        <w:t>7 punktų, kur priedėlyje yra vartotojo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sąsaja, pritaikyta rodyti gliukozės kiekio kraujyje vertę ir (arba) gliukozės kiekio kraujyje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kitimo tendencijos liniją ir (arba) kitimo greitį;</w:t>
      </w:r>
    </w:p>
    <w:p w14:paraId="2CE6F799" w14:textId="77777777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arba</w:t>
      </w:r>
    </w:p>
    <w:p w14:paraId="559B57EE" w14:textId="7EC94849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kur priedėlis apima daugybę piktogramų, kurios gali būti apšviestos arba paryškintos, kad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parodytų vieną ar daugiau pavojaus signalo ar įspėjimo sąlygų.</w:t>
      </w:r>
    </w:p>
    <w:p w14:paraId="3A8B94D4" w14:textId="77777777" w:rsidR="00036AB7" w:rsidRPr="00036AB7" w:rsidRDefault="00036AB7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017C5C61" w14:textId="589B07FC" w:rsidR="00062DDB" w:rsidRPr="00036AB7" w:rsidRDefault="00062DDB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9. Diabeto valdymo sistema pagal bet kurį iš 1</w:t>
      </w:r>
      <w:r w:rsidRPr="00036AB7">
        <w:rPr>
          <w:rFonts w:ascii="Helvetica" w:hAnsi="Helvetica" w:cs="Helvetica"/>
          <w:sz w:val="20"/>
        </w:rPr>
        <w:t>–</w:t>
      </w:r>
      <w:r w:rsidRPr="00036AB7">
        <w:rPr>
          <w:rFonts w:ascii="Helvetica" w:hAnsi="Helvetica" w:cs="Helvetica"/>
          <w:sz w:val="20"/>
        </w:rPr>
        <w:t>7 punktų, kur priedėlis apima pranešimo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būdą, pvz., vibracijos arba garsinį signalą;</w:t>
      </w:r>
    </w:p>
    <w:p w14:paraId="1AF0965C" w14:textId="77777777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ir pasirinktinai</w:t>
      </w:r>
    </w:p>
    <w:p w14:paraId="137DD3D9" w14:textId="41BE0C76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kur bent vienas dozės surinkimo įtaisas neturi jokio komponento, pritaikyto skleisti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vibracinį ar garsinį signalą.</w:t>
      </w:r>
    </w:p>
    <w:p w14:paraId="07A15508" w14:textId="77777777" w:rsidR="00036AB7" w:rsidRPr="00036AB7" w:rsidRDefault="00036AB7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D34F9A5" w14:textId="77777777" w:rsidR="00062DDB" w:rsidRPr="00036AB7" w:rsidRDefault="00062DDB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10. Diabeto valdymo būdas, būdas apimantis:</w:t>
      </w:r>
    </w:p>
    <w:p w14:paraId="5A6BE873" w14:textId="7737C5AF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belaidžiu ryšiu gliukozės kiekio kraujyje duomenų gavimą dozės fiksavimo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įrenginyje iš gliukozės kiekio kraujyje stebėjimo įrenginio (130), reaguojančio į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vartotojo sąveiką su dozės fiksavimo įrenginiu, siekiant inicijuoti gliukozės kiekio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kraujyje duomenų perdavimą gliukozės kiekio kraujyje stebėjimo įtaisu;</w:t>
      </w:r>
    </w:p>
    <w:p w14:paraId="4C8DD584" w14:textId="5D340013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insulino dozės, suleidžiamos iš rankinio insulino tiekimo įtaiso, nustatymą dozės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fiksavimo įtaise;</w:t>
      </w:r>
    </w:p>
    <w:p w14:paraId="0BBC8995" w14:textId="59A94BD4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dozės fiksavimo įtaisu nustatymą rekomenduojamą insulino dozę, atsižvelgiant į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gliukozės kiekio kraujyje duomenis; ir</w:t>
      </w:r>
    </w:p>
    <w:p w14:paraId="1A50E622" w14:textId="4AB65695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pavojaus signalo arba perspėjimo, reaguojančio į gliukozės kiekio kraujyje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duomenis, suteikimą priedo vartotojo sąsajoje belaidžiu ryšiu su gliukozės stebėjimo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įrenginiu, kur bent vienas priedas yra atskirtas nuo mažiausiai vieno dozės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fiksavimo įrenginio.</w:t>
      </w:r>
    </w:p>
    <w:p w14:paraId="024E9C93" w14:textId="77777777" w:rsidR="00036AB7" w:rsidRPr="00036AB7" w:rsidRDefault="00036AB7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C9965F8" w14:textId="77777777" w:rsidR="00062DDB" w:rsidRPr="00036AB7" w:rsidRDefault="00062DDB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11. Būdas pagal 10 punktą, dar apimantis:</w:t>
      </w:r>
    </w:p>
    <w:p w14:paraId="03489A9E" w14:textId="21DB88EC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aptikimą pavojaus arba įspėjimo būklę, reaguojančią į dozės fiksavimo informaciją,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rodančią insulino dozę, suleistą iš rankinio insulino leidimo įrenginio; ir</w:t>
      </w:r>
    </w:p>
    <w:p w14:paraId="72F33A8E" w14:textId="3FC8536D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pateikimą pavojaus signalo arba perspėjimo, reaguojančio į gliukozės kiekio kraujyje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duomenis ir aptiktą pavojaus signalą arba aptiktą perspėjimo būklę.</w:t>
      </w:r>
    </w:p>
    <w:p w14:paraId="588F36F8" w14:textId="77777777" w:rsidR="00036AB7" w:rsidRPr="00036AB7" w:rsidRDefault="00036AB7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1811F58" w14:textId="3013DA6E" w:rsidR="00062DDB" w:rsidRPr="00036AB7" w:rsidRDefault="00062DDB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12. Būdas pagal 10 arba 11 punktą, kur pavojaus signalo arba perspėjimo suteikimas apima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didelio gliukozės kiekio pavojaus signalo arba įspėjimo inicijavimą.</w:t>
      </w:r>
    </w:p>
    <w:p w14:paraId="74F50CD0" w14:textId="77777777" w:rsidR="00036AB7" w:rsidRPr="00036AB7" w:rsidRDefault="00036AB7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06FD76BD" w14:textId="6964089F" w:rsidR="00062DDB" w:rsidRPr="00036AB7" w:rsidRDefault="00062DDB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13. Būdas pagal 10 arba 11 punktą, papildomai apimantis daugybę vartotojo pasirenkamų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piktogramų arba mygtukų, kurių kiekvienas reiškia skirtingas valgio charakteristikas arba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meniu pasirinkimus vartotojo sąsajoje, rodymą.</w:t>
      </w:r>
    </w:p>
    <w:p w14:paraId="3B27D889" w14:textId="77777777" w:rsidR="00036AB7" w:rsidRPr="00036AB7" w:rsidRDefault="00036AB7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42A306E5" w14:textId="4171B153" w:rsidR="00062DDB" w:rsidRPr="00036AB7" w:rsidRDefault="00062DDB" w:rsidP="00036AB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14. Būdas pagal 13 punktą, papildomai apimantis pradinių valgio charakteristikų, susijusių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su kiekviena iš daugybės vartotojo pasirenkamų piktogramų arba mygtukų, nustatymą,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remiantis vartotojo specifiniais dozavimo parametrais;</w:t>
      </w:r>
    </w:p>
    <w:p w14:paraId="034C5058" w14:textId="77777777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ir pasirinktinai</w:t>
      </w:r>
    </w:p>
    <w:p w14:paraId="4F3CF83D" w14:textId="4ED83CB3" w:rsidR="00062DDB" w:rsidRPr="00036AB7" w:rsidRDefault="00062DDB" w:rsidP="00036AB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36AB7">
        <w:rPr>
          <w:rFonts w:ascii="Helvetica" w:hAnsi="Helvetica" w:cs="Helvetica"/>
          <w:sz w:val="20"/>
        </w:rPr>
        <w:t>papildomai apimantis patiekalų charakteristikų, susijusių su kiekvienu iš daugybės vartotojo</w:t>
      </w:r>
      <w:r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pasirenkamų patiekalų, atnaujinimą</w:t>
      </w:r>
      <w:r w:rsidR="00036AB7" w:rsidRPr="00036AB7">
        <w:rPr>
          <w:rFonts w:ascii="Helvetica" w:hAnsi="Helvetica" w:cs="Helvetica"/>
          <w:sz w:val="20"/>
        </w:rPr>
        <w:t xml:space="preserve"> </w:t>
      </w:r>
      <w:r w:rsidRPr="00036AB7">
        <w:rPr>
          <w:rFonts w:ascii="Helvetica" w:hAnsi="Helvetica" w:cs="Helvetica"/>
          <w:sz w:val="20"/>
        </w:rPr>
        <w:t>piktogramomis arba meniu mygtukais, remiantis gliukozės kiekio kraujyje duomenimis.</w:t>
      </w:r>
    </w:p>
    <w:sectPr w:rsidR="00062DDB" w:rsidRPr="00036AB7" w:rsidSect="00036AB7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E3CAF" w14:textId="77777777" w:rsidR="00036AB7" w:rsidRDefault="00036AB7" w:rsidP="00036AB7">
      <w:pPr>
        <w:spacing w:after="0" w:line="240" w:lineRule="auto"/>
      </w:pPr>
      <w:r>
        <w:separator/>
      </w:r>
    </w:p>
  </w:endnote>
  <w:endnote w:type="continuationSeparator" w:id="0">
    <w:p w14:paraId="33901C78" w14:textId="77777777" w:rsidR="00036AB7" w:rsidRDefault="00036AB7" w:rsidP="0003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CD85B" w14:textId="77777777" w:rsidR="00036AB7" w:rsidRDefault="00036AB7" w:rsidP="00036AB7">
      <w:pPr>
        <w:spacing w:after="0" w:line="240" w:lineRule="auto"/>
      </w:pPr>
      <w:r>
        <w:separator/>
      </w:r>
    </w:p>
  </w:footnote>
  <w:footnote w:type="continuationSeparator" w:id="0">
    <w:p w14:paraId="6DEC1FE8" w14:textId="77777777" w:rsidR="00036AB7" w:rsidRDefault="00036AB7" w:rsidP="00036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DB"/>
    <w:rsid w:val="0000726D"/>
    <w:rsid w:val="00036AB7"/>
    <w:rsid w:val="00062DDB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06A34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719DD"/>
  <w15:chartTrackingRefBased/>
  <w15:docId w15:val="{8E7C4823-6E44-465F-8183-BEE08EBF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DDB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DDB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DDB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DDB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DDB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DDB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DDB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DDB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DDB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D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D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D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DDB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DDB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DDB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DDB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DDB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DDB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62DDB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DDB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DDB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62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D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D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DDB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62DD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6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AB7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AB7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670</Words>
  <Characters>4624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2024-11-27T13:59:00Z</dcterms:created>
  <dcterms:modified xsi:type="dcterms:W3CDTF">2024-11-27T14:12:00Z</dcterms:modified>
</cp:coreProperties>
</file>