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88BE" w14:textId="2BF39BF9" w:rsidR="003D0FEF" w:rsidRPr="00D821F6" w:rsidRDefault="00BA2E9F" w:rsidP="00D821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6D104C" w:rsidRPr="00D821F6">
        <w:rPr>
          <w:rFonts w:ascii="Helvetica" w:hAnsi="Helvetica" w:cs="Arial"/>
          <w:sz w:val="20"/>
          <w:szCs w:val="24"/>
          <w:lang w:val="lt-LT"/>
        </w:rPr>
        <w:t xml:space="preserve">Antikūnas prieš </w:t>
      </w:r>
      <w:proofErr w:type="spellStart"/>
      <w:r w:rsidR="006D104C" w:rsidRPr="00D821F6">
        <w:rPr>
          <w:rFonts w:ascii="Helvetica" w:hAnsi="Helvetica" w:cs="Arial"/>
          <w:sz w:val="20"/>
          <w:szCs w:val="24"/>
          <w:lang w:val="lt-LT"/>
        </w:rPr>
        <w:t>sklerostiną</w:t>
      </w:r>
      <w:proofErr w:type="spellEnd"/>
      <w:r w:rsidR="006D104C" w:rsidRPr="00D821F6">
        <w:rPr>
          <w:rFonts w:ascii="Helvetica" w:hAnsi="Helvetica" w:cs="Arial"/>
          <w:sz w:val="20"/>
          <w:szCs w:val="24"/>
          <w:lang w:val="lt-LT"/>
        </w:rPr>
        <w:t xml:space="preserve"> arba jo fragmentas, skirtas naudoti</w:t>
      </w:r>
      <w:r w:rsidR="007E2023" w:rsidRPr="00D821F6">
        <w:rPr>
          <w:rFonts w:ascii="Helvetica" w:hAnsi="Helvetica" w:cs="Arial"/>
          <w:sz w:val="20"/>
          <w:szCs w:val="24"/>
          <w:lang w:val="lt-LT"/>
        </w:rPr>
        <w:t xml:space="preserve"> taikant</w:t>
      </w:r>
      <w:r w:rsidR="006D104C" w:rsidRPr="00D821F6">
        <w:rPr>
          <w:rFonts w:ascii="Helvetica" w:hAnsi="Helvetica" w:cs="Arial"/>
          <w:sz w:val="20"/>
          <w:szCs w:val="24"/>
          <w:lang w:val="lt-LT"/>
        </w:rPr>
        <w:t xml:space="preserve"> su kaulais susijusio sutrikimo</w:t>
      </w:r>
      <w:r w:rsidR="007E2023" w:rsidRPr="00D821F6">
        <w:rPr>
          <w:rFonts w:ascii="Helvetica" w:hAnsi="Helvetica" w:cs="Arial"/>
          <w:sz w:val="20"/>
          <w:szCs w:val="24"/>
          <w:lang w:val="lt-LT"/>
        </w:rPr>
        <w:t xml:space="preserve"> gydymą</w:t>
      </w:r>
      <w:r w:rsidR="006D104C"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7E2023" w:rsidRPr="00D821F6">
        <w:rPr>
          <w:rFonts w:ascii="Helvetica" w:hAnsi="Helvetica" w:cs="Arial"/>
          <w:sz w:val="20"/>
          <w:szCs w:val="24"/>
          <w:lang w:val="lt-LT"/>
        </w:rPr>
        <w:t>pa</w:t>
      </w:r>
      <w:r w:rsidR="006D104C" w:rsidRPr="00D821F6">
        <w:rPr>
          <w:rFonts w:ascii="Helvetica" w:hAnsi="Helvetica" w:cs="Arial"/>
          <w:sz w:val="20"/>
          <w:szCs w:val="24"/>
          <w:lang w:val="lt-LT"/>
        </w:rPr>
        <w:t xml:space="preserve">didinant kaulų mineralų tankį, </w:t>
      </w:r>
      <w:r w:rsidR="007E2023" w:rsidRPr="00D821F6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6D104C" w:rsidRPr="00D821F6">
        <w:rPr>
          <w:rFonts w:ascii="Helvetica" w:hAnsi="Helvetica" w:cs="Arial"/>
          <w:sz w:val="20"/>
          <w:szCs w:val="24"/>
          <w:lang w:val="lt-LT"/>
        </w:rPr>
        <w:t>būd</w:t>
      </w:r>
      <w:r w:rsidR="007E2023" w:rsidRPr="00D821F6">
        <w:rPr>
          <w:rFonts w:ascii="Helvetica" w:hAnsi="Helvetica" w:cs="Arial"/>
          <w:sz w:val="20"/>
          <w:szCs w:val="24"/>
          <w:lang w:val="lt-LT"/>
        </w:rPr>
        <w:t>as</w:t>
      </w:r>
      <w:r w:rsidR="006D104C" w:rsidRPr="00D821F6">
        <w:rPr>
          <w:rFonts w:ascii="Helvetica" w:hAnsi="Helvetica" w:cs="Arial"/>
          <w:sz w:val="20"/>
          <w:szCs w:val="24"/>
          <w:lang w:val="lt-LT"/>
        </w:rPr>
        <w:t xml:space="preserve"> apima anti</w:t>
      </w:r>
      <w:r w:rsidR="007E2023" w:rsidRPr="00D821F6">
        <w:rPr>
          <w:rFonts w:ascii="Helvetica" w:hAnsi="Helvetica" w:cs="Arial"/>
          <w:sz w:val="20"/>
          <w:szCs w:val="24"/>
          <w:lang w:val="lt-LT"/>
        </w:rPr>
        <w:t xml:space="preserve">kūno prieš </w:t>
      </w:r>
      <w:proofErr w:type="spellStart"/>
      <w:r w:rsidR="006D104C" w:rsidRPr="00D821F6">
        <w:rPr>
          <w:rFonts w:ascii="Helvetica" w:hAnsi="Helvetica" w:cs="Arial"/>
          <w:sz w:val="20"/>
          <w:szCs w:val="24"/>
          <w:lang w:val="lt-LT"/>
        </w:rPr>
        <w:t>s</w:t>
      </w:r>
      <w:r w:rsidR="009D243F">
        <w:rPr>
          <w:rFonts w:ascii="Helvetica" w:hAnsi="Helvetica" w:cs="Arial"/>
          <w:sz w:val="20"/>
          <w:szCs w:val="24"/>
          <w:lang w:val="lt-LT"/>
        </w:rPr>
        <w:t>k</w:t>
      </w:r>
      <w:r w:rsidR="006D104C" w:rsidRPr="00D821F6">
        <w:rPr>
          <w:rFonts w:ascii="Helvetica" w:hAnsi="Helvetica" w:cs="Arial"/>
          <w:sz w:val="20"/>
          <w:szCs w:val="24"/>
          <w:lang w:val="lt-LT"/>
        </w:rPr>
        <w:t>lerostin</w:t>
      </w:r>
      <w:r w:rsidR="007E2023" w:rsidRPr="00D821F6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="006D104C" w:rsidRPr="00D821F6">
        <w:rPr>
          <w:rFonts w:ascii="Helvetica" w:hAnsi="Helvetica" w:cs="Arial"/>
          <w:sz w:val="20"/>
          <w:szCs w:val="24"/>
          <w:lang w:val="lt-LT"/>
        </w:rPr>
        <w:t xml:space="preserve"> arba jo fragmento įvedimą žmogui kiekiu nuo 0,1 mg/kg iki 20 mg/kg, kur antikūnas prieš </w:t>
      </w:r>
      <w:proofErr w:type="spellStart"/>
      <w:r w:rsidR="006D104C" w:rsidRPr="00D821F6">
        <w:rPr>
          <w:rFonts w:ascii="Helvetica" w:hAnsi="Helvetica" w:cs="Arial"/>
          <w:sz w:val="20"/>
          <w:szCs w:val="24"/>
          <w:lang w:val="lt-LT"/>
        </w:rPr>
        <w:t>sklerostiną</w:t>
      </w:r>
      <w:proofErr w:type="spellEnd"/>
      <w:r w:rsidR="006D104C" w:rsidRPr="00D821F6">
        <w:rPr>
          <w:rFonts w:ascii="Helvetica" w:hAnsi="Helvetica" w:cs="Arial"/>
          <w:sz w:val="20"/>
          <w:szCs w:val="24"/>
          <w:lang w:val="lt-LT"/>
        </w:rPr>
        <w:t xml:space="preserve"> arba jo fragmentas kryžmiškai blokuoja </w:t>
      </w:r>
      <w:r w:rsidR="007E2023" w:rsidRPr="00D821F6">
        <w:rPr>
          <w:rFonts w:ascii="Helvetica" w:hAnsi="Helvetica" w:cs="Arial"/>
          <w:sz w:val="20"/>
          <w:szCs w:val="24"/>
          <w:lang w:val="lt-LT"/>
        </w:rPr>
        <w:t xml:space="preserve">prisijungimą prie </w:t>
      </w:r>
      <w:proofErr w:type="spellStart"/>
      <w:r w:rsidR="007E2023" w:rsidRPr="00D821F6">
        <w:rPr>
          <w:rFonts w:ascii="Helvetica" w:hAnsi="Helvetica" w:cs="Arial"/>
          <w:sz w:val="20"/>
          <w:szCs w:val="24"/>
          <w:lang w:val="lt-LT"/>
        </w:rPr>
        <w:t>sklerostino</w:t>
      </w:r>
      <w:proofErr w:type="spellEnd"/>
      <w:r w:rsidR="007E2023" w:rsidRPr="00D821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D104C" w:rsidRPr="00D821F6">
        <w:rPr>
          <w:rFonts w:ascii="Helvetica" w:hAnsi="Helvetica" w:cs="Arial"/>
          <w:sz w:val="20"/>
          <w:szCs w:val="24"/>
          <w:lang w:val="lt-LT"/>
        </w:rPr>
        <w:t>antikūno Ab-4, kurio sunkiosios grandinės seka yra SEQ ID Nr. 137</w:t>
      </w:r>
      <w:r w:rsidR="007E2023" w:rsidRPr="00D821F6">
        <w:rPr>
          <w:rFonts w:ascii="Helvetica" w:hAnsi="Helvetica" w:cs="Arial"/>
          <w:sz w:val="20"/>
          <w:szCs w:val="24"/>
          <w:lang w:val="lt-LT"/>
        </w:rPr>
        <w:t>,</w:t>
      </w:r>
      <w:r w:rsidR="006D104C" w:rsidRPr="00D821F6">
        <w:rPr>
          <w:rFonts w:ascii="Helvetica" w:hAnsi="Helvetica" w:cs="Arial"/>
          <w:sz w:val="20"/>
          <w:szCs w:val="24"/>
          <w:lang w:val="lt-LT"/>
        </w:rPr>
        <w:t xml:space="preserve"> ir lengvosios grandinės seka SEQ ID Nr. 133</w:t>
      </w:r>
      <w:r w:rsidR="007E2023" w:rsidRPr="00D821F6">
        <w:rPr>
          <w:rFonts w:ascii="Helvetica" w:hAnsi="Helvetica" w:cs="Arial"/>
          <w:sz w:val="20"/>
          <w:szCs w:val="24"/>
          <w:lang w:val="lt-LT"/>
        </w:rPr>
        <w:t>,</w:t>
      </w:r>
      <w:r w:rsidR="006D104C" w:rsidRPr="00D821F6">
        <w:rPr>
          <w:rFonts w:ascii="Helvetica" w:hAnsi="Helvetica" w:cs="Arial"/>
          <w:sz w:val="20"/>
          <w:szCs w:val="24"/>
          <w:lang w:val="lt-LT"/>
        </w:rPr>
        <w:t xml:space="preserve"> arba antikūn</w:t>
      </w:r>
      <w:r w:rsidR="007E2023" w:rsidRPr="00D821F6">
        <w:rPr>
          <w:rFonts w:ascii="Helvetica" w:hAnsi="Helvetica" w:cs="Arial"/>
          <w:sz w:val="20"/>
          <w:szCs w:val="24"/>
          <w:lang w:val="lt-LT"/>
        </w:rPr>
        <w:t>o</w:t>
      </w:r>
      <w:r w:rsidR="006D104C" w:rsidRPr="00D821F6">
        <w:rPr>
          <w:rFonts w:ascii="Helvetica" w:hAnsi="Helvetica" w:cs="Arial"/>
          <w:sz w:val="20"/>
          <w:szCs w:val="24"/>
          <w:lang w:val="lt-LT"/>
        </w:rPr>
        <w:t xml:space="preserve"> Ab-13, </w:t>
      </w:r>
      <w:r w:rsidR="007E2023" w:rsidRPr="00D821F6">
        <w:rPr>
          <w:rFonts w:ascii="Helvetica" w:hAnsi="Helvetica" w:cs="Arial"/>
          <w:sz w:val="20"/>
          <w:szCs w:val="24"/>
          <w:lang w:val="lt-LT"/>
        </w:rPr>
        <w:t>kurio sunkiosios grandinės seka yra</w:t>
      </w:r>
      <w:r w:rsidR="006D104C" w:rsidRPr="00D821F6">
        <w:rPr>
          <w:rFonts w:ascii="Helvetica" w:hAnsi="Helvetica" w:cs="Arial"/>
          <w:sz w:val="20"/>
          <w:szCs w:val="24"/>
          <w:lang w:val="lt-LT"/>
        </w:rPr>
        <w:t xml:space="preserve"> SEQ ID Nr. 209</w:t>
      </w:r>
      <w:r w:rsidR="007E2023" w:rsidRPr="00D821F6">
        <w:rPr>
          <w:rFonts w:ascii="Helvetica" w:hAnsi="Helvetica" w:cs="Arial"/>
          <w:sz w:val="20"/>
          <w:szCs w:val="24"/>
          <w:lang w:val="lt-LT"/>
        </w:rPr>
        <w:t>,</w:t>
      </w:r>
      <w:r w:rsidR="006D104C" w:rsidRPr="00D821F6">
        <w:rPr>
          <w:rFonts w:ascii="Helvetica" w:hAnsi="Helvetica" w:cs="Arial"/>
          <w:sz w:val="20"/>
          <w:szCs w:val="24"/>
          <w:lang w:val="lt-LT"/>
        </w:rPr>
        <w:t xml:space="preserve"> ir lengvosios grandinės sek</w:t>
      </w:r>
      <w:r w:rsidR="007E2023" w:rsidRPr="00D821F6">
        <w:rPr>
          <w:rFonts w:ascii="Helvetica" w:hAnsi="Helvetica" w:cs="Arial"/>
          <w:sz w:val="20"/>
          <w:szCs w:val="24"/>
          <w:lang w:val="lt-LT"/>
        </w:rPr>
        <w:t>a yra</w:t>
      </w:r>
      <w:r w:rsidR="006D104C" w:rsidRPr="00D821F6">
        <w:rPr>
          <w:rFonts w:ascii="Helvetica" w:hAnsi="Helvetica" w:cs="Arial"/>
          <w:sz w:val="20"/>
          <w:szCs w:val="24"/>
          <w:lang w:val="lt-LT"/>
        </w:rPr>
        <w:t xml:space="preserve"> SEQ ID Nr. 205.</w:t>
      </w:r>
    </w:p>
    <w:p w14:paraId="19826E01" w14:textId="77777777" w:rsidR="00B81266" w:rsidRPr="00D821F6" w:rsidRDefault="00B81266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A5BF848" w14:textId="53E14264" w:rsidR="006D104C" w:rsidRPr="00D821F6" w:rsidRDefault="006D104C" w:rsidP="00D821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>2. Antikūnas, skirtas naudoti pagal 1 punktą, kur:</w:t>
      </w:r>
    </w:p>
    <w:p w14:paraId="34DE9C18" w14:textId="77777777" w:rsidR="006D104C" w:rsidRPr="00D821F6" w:rsidRDefault="006D104C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 xml:space="preserve">a) metodas slopina kaulų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rezorbciją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>;</w:t>
      </w:r>
    </w:p>
    <w:p w14:paraId="20C867F3" w14:textId="0FB6DD1F" w:rsidR="006D104C" w:rsidRPr="00D821F6" w:rsidRDefault="006D104C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 xml:space="preserve">b) žmogus yra tas, kuriam gydymas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prieskydinės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liaukos hormonu ar</w:t>
      </w:r>
      <w:r w:rsidR="007E2023" w:rsidRPr="00D821F6">
        <w:rPr>
          <w:rFonts w:ascii="Helvetica" w:hAnsi="Helvetica" w:cs="Arial"/>
          <w:sz w:val="20"/>
          <w:szCs w:val="24"/>
          <w:lang w:val="lt-LT"/>
        </w:rPr>
        <w:t>ba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jo analogu </w:t>
      </w:r>
      <w:r w:rsidR="007E2023" w:rsidRPr="00D821F6">
        <w:rPr>
          <w:rFonts w:ascii="Helvetica" w:hAnsi="Helvetica" w:cs="Arial"/>
          <w:sz w:val="20"/>
          <w:szCs w:val="24"/>
          <w:lang w:val="lt-LT"/>
        </w:rPr>
        <w:t xml:space="preserve">yra </w:t>
      </w:r>
      <w:proofErr w:type="spellStart"/>
      <w:r w:rsidR="007E2023" w:rsidRPr="00D821F6">
        <w:rPr>
          <w:rFonts w:ascii="Helvetica" w:hAnsi="Helvetica" w:cs="Arial"/>
          <w:sz w:val="20"/>
          <w:szCs w:val="24"/>
          <w:lang w:val="lt-LT"/>
        </w:rPr>
        <w:t>kontraindikuotinas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, arba žmogus, kuriam gydymas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bisfosfonatais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kontraindikuotinas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>; arba</w:t>
      </w:r>
    </w:p>
    <w:p w14:paraId="3C97F22C" w14:textId="0B67FE06" w:rsidR="00B81266" w:rsidRPr="00D821F6" w:rsidRDefault="006D104C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 xml:space="preserve">c) žmogus serga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hipokalcemija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hiperkalcemija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arba jam </w:t>
      </w:r>
      <w:r w:rsidR="007E2023" w:rsidRPr="00D821F6">
        <w:rPr>
          <w:rFonts w:ascii="Helvetica" w:hAnsi="Helvetica" w:cs="Arial"/>
          <w:sz w:val="20"/>
          <w:szCs w:val="24"/>
          <w:lang w:val="lt-LT"/>
        </w:rPr>
        <w:t>yra rizika susirgti</w:t>
      </w:r>
      <w:r w:rsidRPr="00D821F6">
        <w:rPr>
          <w:rFonts w:ascii="Helvetica" w:hAnsi="Helvetica" w:cs="Arial"/>
          <w:sz w:val="20"/>
          <w:szCs w:val="24"/>
          <w:lang w:val="lt-LT"/>
        </w:rPr>
        <w:t>.</w:t>
      </w:r>
    </w:p>
    <w:p w14:paraId="2401F36E" w14:textId="77777777" w:rsidR="00B81266" w:rsidRPr="00D821F6" w:rsidRDefault="00B81266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9358F14" w14:textId="50257D67" w:rsidR="006D104C" w:rsidRPr="00D821F6" w:rsidRDefault="006D104C" w:rsidP="00D821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 xml:space="preserve">3. Antikūnas, skirtas naudoti pagal 2 punktą, kur žmogus, </w:t>
      </w:r>
      <w:r w:rsidR="007E2023" w:rsidRPr="00D821F6">
        <w:rPr>
          <w:rFonts w:ascii="Helvetica" w:hAnsi="Helvetica" w:cs="Arial"/>
          <w:sz w:val="20"/>
          <w:szCs w:val="24"/>
          <w:lang w:val="lt-LT"/>
        </w:rPr>
        <w:t>serga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ntis</w:t>
      </w:r>
      <w:r w:rsidR="007E2023" w:rsidRPr="00D821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7E2023" w:rsidRPr="00D821F6">
        <w:rPr>
          <w:rFonts w:ascii="Helvetica" w:hAnsi="Helvetica" w:cs="Arial"/>
          <w:sz w:val="20"/>
          <w:szCs w:val="24"/>
          <w:lang w:val="lt-LT"/>
        </w:rPr>
        <w:t>hipokalcemija</w:t>
      </w:r>
      <w:proofErr w:type="spellEnd"/>
      <w:r w:rsidR="007E2023" w:rsidRPr="00D821F6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7E2023" w:rsidRPr="00D821F6">
        <w:rPr>
          <w:rFonts w:ascii="Helvetica" w:hAnsi="Helvetica" w:cs="Arial"/>
          <w:sz w:val="20"/>
          <w:szCs w:val="24"/>
          <w:lang w:val="lt-LT"/>
        </w:rPr>
        <w:t>hiperkalcemija</w:t>
      </w:r>
      <w:proofErr w:type="spellEnd"/>
      <w:r w:rsidR="007E2023" w:rsidRPr="00D821F6">
        <w:rPr>
          <w:rFonts w:ascii="Helvetica" w:hAnsi="Helvetica" w:cs="Arial"/>
          <w:sz w:val="20"/>
          <w:szCs w:val="24"/>
          <w:lang w:val="lt-LT"/>
        </w:rPr>
        <w:t xml:space="preserve"> arba jam yra rizika susirgti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972137" w:rsidRPr="00D821F6">
        <w:rPr>
          <w:rFonts w:ascii="Helvetica" w:hAnsi="Helvetica" w:cs="Arial"/>
          <w:sz w:val="20"/>
          <w:szCs w:val="24"/>
          <w:lang w:val="lt-LT"/>
        </w:rPr>
        <w:t>hipokalcemija</w:t>
      </w:r>
      <w:proofErr w:type="spellEnd"/>
      <w:r w:rsidR="00972137" w:rsidRPr="00D821F6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972137" w:rsidRPr="00D821F6">
        <w:rPr>
          <w:rFonts w:ascii="Helvetica" w:hAnsi="Helvetica" w:cs="Arial"/>
          <w:sz w:val="20"/>
          <w:szCs w:val="24"/>
          <w:lang w:val="lt-LT"/>
        </w:rPr>
        <w:t>hiperkalcemija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>, atsirandančia dėl lėtinės inkstų ligos, inkstų nepakankamumo, pirminio ar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ba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antrinio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hiperparatiroidizmo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pseudohiperparatiroidizmo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hipoparatiroidizmo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pseudohipoparatiroidizmo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>, magnio trūkumo, sunk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ios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hipermagnezemij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>, vitamino D trūkum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hiperfosfatemij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>, ūmini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pankreatit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alkan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ų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kaul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ų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sindrom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kompleksų formavimosi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osteoblastinės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metastazės, sepsi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chirurgi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nės operacijos</w:t>
      </w:r>
      <w:r w:rsidRPr="00D821F6">
        <w:rPr>
          <w:rFonts w:ascii="Helvetica" w:hAnsi="Helvetica" w:cs="Arial"/>
          <w:sz w:val="20"/>
          <w:szCs w:val="24"/>
          <w:lang w:val="lt-LT"/>
        </w:rPr>
        <w:t>, chemoterapij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os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neoplazijos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sindrom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hipoparatiroidizm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>, šeiminė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hipokalciurinė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hiperkalcemij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sarkoidozė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>, tuberkuliozė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972137" w:rsidRPr="00D821F6">
        <w:rPr>
          <w:rFonts w:ascii="Helvetica" w:hAnsi="Helvetica" w:cs="Arial"/>
          <w:sz w:val="20"/>
          <w:szCs w:val="24"/>
          <w:lang w:val="lt-LT"/>
        </w:rPr>
        <w:t>beriliozės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72137" w:rsidRPr="00D821F6">
        <w:rPr>
          <w:rFonts w:ascii="Helvetica" w:hAnsi="Helvetica" w:cs="Arial"/>
          <w:sz w:val="20"/>
          <w:szCs w:val="24"/>
          <w:lang w:val="lt-LT"/>
        </w:rPr>
        <w:t>histoplazmozės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972137" w:rsidRPr="00D821F6">
        <w:rPr>
          <w:rFonts w:ascii="Helvetica" w:hAnsi="Helvetica" w:cs="Arial"/>
          <w:sz w:val="20"/>
          <w:szCs w:val="24"/>
          <w:lang w:val="lt-LT"/>
        </w:rPr>
        <w:t>kandidozės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972137" w:rsidRPr="00D821F6">
        <w:rPr>
          <w:rFonts w:ascii="Helvetica" w:hAnsi="Helvetica" w:cs="Arial"/>
          <w:sz w:val="20"/>
          <w:szCs w:val="24"/>
          <w:lang w:val="lt-LT"/>
        </w:rPr>
        <w:t>kokcidiomikozės</w:t>
      </w:r>
      <w:proofErr w:type="spellEnd"/>
      <w:r w:rsidR="00972137"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Hodžkino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ar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ba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ne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Hodžkino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limfom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os</w:t>
      </w:r>
      <w:r w:rsidRPr="00D821F6">
        <w:rPr>
          <w:rFonts w:ascii="Helvetica" w:hAnsi="Helvetica" w:cs="Arial"/>
          <w:sz w:val="20"/>
          <w:szCs w:val="24"/>
          <w:lang w:val="lt-LT"/>
        </w:rPr>
        <w:t>, Krono lig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os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542F7E" w:rsidRPr="00D821F6">
        <w:rPr>
          <w:rFonts w:ascii="Helvetica" w:hAnsi="Helvetica" w:cs="Arial"/>
          <w:sz w:val="20"/>
          <w:szCs w:val="24"/>
          <w:lang w:val="lt-LT"/>
        </w:rPr>
        <w:t>V</w:t>
      </w:r>
      <w:r w:rsidRPr="00D821F6">
        <w:rPr>
          <w:rFonts w:ascii="Helvetica" w:hAnsi="Helvetica" w:cs="Arial"/>
          <w:sz w:val="20"/>
          <w:szCs w:val="24"/>
          <w:lang w:val="lt-LT"/>
        </w:rPr>
        <w:t>egenerio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granulomatozė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>, pneumonij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os</w:t>
      </w:r>
      <w:r w:rsidRPr="00D821F6">
        <w:rPr>
          <w:rFonts w:ascii="Helvetica" w:hAnsi="Helvetica" w:cs="Arial"/>
          <w:sz w:val="20"/>
          <w:szCs w:val="24"/>
          <w:lang w:val="lt-LT"/>
        </w:rPr>
        <w:t>, silikono sukelt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ų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granul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i</w:t>
      </w:r>
      <w:r w:rsidRPr="00D821F6">
        <w:rPr>
          <w:rFonts w:ascii="Helvetica" w:hAnsi="Helvetica" w:cs="Arial"/>
          <w:sz w:val="20"/>
          <w:szCs w:val="24"/>
          <w:lang w:val="lt-LT"/>
        </w:rPr>
        <w:t>om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tiazidinių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diuretikų ar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ba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ličio 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įvedimo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imobilizacij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>.</w:t>
      </w:r>
    </w:p>
    <w:p w14:paraId="5CA9A785" w14:textId="77777777" w:rsidR="006D104C" w:rsidRPr="00D821F6" w:rsidRDefault="006D104C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4440A4D" w14:textId="07B9FF52" w:rsidR="006D104C" w:rsidRPr="00D821F6" w:rsidRDefault="006D104C" w:rsidP="00D821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>4. Antikūnas, skirtas naudoti pagal 1 punktą, kur:</w:t>
      </w:r>
    </w:p>
    <w:p w14:paraId="261018BA" w14:textId="52497761" w:rsidR="006D104C" w:rsidRPr="00D821F6" w:rsidRDefault="006D104C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>(A) metodas yra toks, k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ur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antikūnų kiekis 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D821F6">
        <w:rPr>
          <w:rFonts w:ascii="Helvetica" w:hAnsi="Helvetica" w:cs="Arial"/>
          <w:sz w:val="20"/>
          <w:szCs w:val="24"/>
          <w:lang w:val="lt-LT"/>
        </w:rPr>
        <w:t>veiksminga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sumažina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nt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I tipo kolageno (CTX) C-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telopeptido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koncentraciją serume 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bent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20 %, 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lyginant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su prieš gydymą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 xml:space="preserve"> buvusiu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arba normaliu lygiu, praėjus 3 savaitėms po gydymo pradžios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,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ir kur slopinama kaulų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rezorbcija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>;</w:t>
      </w:r>
    </w:p>
    <w:p w14:paraId="2FEF63DF" w14:textId="69D39620" w:rsidR="006D104C" w:rsidRPr="00D821F6" w:rsidRDefault="006D104C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>(B) metodas yra toks,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 xml:space="preserve"> kur antikūnų kiekis yra veiksmingas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(a) sumažin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ant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CTX koncentraciją serume bent 20 %, 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lyginant su prieš gydymą buvusiu arba normaliu lygiu, praėjus 3 savaitėms po gydymo pradžios</w:t>
      </w:r>
      <w:r w:rsidRPr="00D821F6">
        <w:rPr>
          <w:rFonts w:ascii="Helvetica" w:hAnsi="Helvetica" w:cs="Arial"/>
          <w:sz w:val="20"/>
          <w:szCs w:val="24"/>
          <w:lang w:val="lt-LT"/>
        </w:rPr>
        <w:t>, ir (b) padi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dinant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koncentraciją serume kaulų formavimosi žymen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s</w:t>
      </w:r>
      <w:r w:rsidRPr="00D821F6">
        <w:rPr>
          <w:rFonts w:ascii="Helvetica" w:hAnsi="Helvetica" w:cs="Arial"/>
          <w:sz w:val="20"/>
          <w:szCs w:val="24"/>
          <w:lang w:val="lt-LT"/>
        </w:rPr>
        <w:t>, parinkt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iš grupės, susidedančios iš kaulams specifinės šarminės fosfatazės (BSAP)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 xml:space="preserve"> lygio serume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,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1 tipo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prokolageno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peptido (PINP) amino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 xml:space="preserve"> grupės </w:t>
      </w:r>
      <w:r w:rsidRPr="00D821F6">
        <w:rPr>
          <w:rFonts w:ascii="Helvetica" w:hAnsi="Helvetica" w:cs="Arial"/>
          <w:sz w:val="20"/>
          <w:szCs w:val="24"/>
          <w:lang w:val="lt-LT"/>
        </w:rPr>
        <w:t>gal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pra</w:t>
      </w:r>
      <w:r w:rsidR="00542F7E" w:rsidRPr="00D821F6">
        <w:rPr>
          <w:rFonts w:ascii="Helvetica" w:hAnsi="Helvetica" w:cs="Arial"/>
          <w:sz w:val="20"/>
          <w:szCs w:val="24"/>
          <w:lang w:val="lt-LT"/>
        </w:rPr>
        <w:t>ilginimo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lygio serume ir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osteokalcino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OstCa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>) lygio serume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>,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>bent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20 %, 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>lyginant su prieš gydymą buvusiu arba normaliu lygiu, praėjus 3 savaitėms po gydymo pradžios</w:t>
      </w:r>
      <w:r w:rsidRPr="00D821F6">
        <w:rPr>
          <w:rFonts w:ascii="Helvetica" w:hAnsi="Helvetica" w:cs="Arial"/>
          <w:sz w:val="20"/>
          <w:szCs w:val="24"/>
          <w:lang w:val="lt-LT"/>
        </w:rPr>
        <w:t>; arba</w:t>
      </w:r>
    </w:p>
    <w:p w14:paraId="6F7DC7F1" w14:textId="0920B643" w:rsidR="006D104C" w:rsidRPr="00D821F6" w:rsidRDefault="006D104C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 xml:space="preserve">(C) metodas apima: (a) antikūno 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>įvedimą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žmogui pirmą 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>laikotarpį</w:t>
      </w:r>
      <w:r w:rsidRPr="00D821F6">
        <w:rPr>
          <w:rFonts w:ascii="Helvetica" w:hAnsi="Helvetica" w:cs="Arial"/>
          <w:sz w:val="20"/>
          <w:szCs w:val="24"/>
          <w:lang w:val="lt-LT"/>
        </w:rPr>
        <w:t>, k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>ur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šis kiekis yra veiksmingas padidin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 xml:space="preserve">ant </w:t>
      </w:r>
      <w:r w:rsidRPr="00D821F6">
        <w:rPr>
          <w:rFonts w:ascii="Helvetica" w:hAnsi="Helvetica" w:cs="Arial"/>
          <w:sz w:val="20"/>
          <w:szCs w:val="24"/>
          <w:lang w:val="lt-LT"/>
        </w:rPr>
        <w:t>kaulų mineralinį tankį klubo, stuburo, riešo, piršto, blauzdos kaulo ir (arba) kulno srityje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 xml:space="preserve"> bent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apie 3%, ir (b) antikūno prieš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sklerostiną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 xml:space="preserve">įvedimą 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nuo maždaug 1 mg/kg iki maždaug 10 mg/kg antrąjį laikotarpį, 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>kur kiekis yra veiksmingas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kaulų mineraliniam tankiui palaikyti.</w:t>
      </w:r>
    </w:p>
    <w:p w14:paraId="2107B363" w14:textId="77777777" w:rsidR="006D104C" w:rsidRPr="00D821F6" w:rsidRDefault="006D104C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FD91601" w14:textId="334161DC" w:rsidR="006D104C" w:rsidRPr="00D821F6" w:rsidRDefault="006D104C" w:rsidP="00D821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 xml:space="preserve">5. Antikūnas, 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>skirtas naudoti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pagal 1 punktą, kur:</w:t>
      </w:r>
    </w:p>
    <w:p w14:paraId="2EEDD203" w14:textId="37070675" w:rsidR="006D104C" w:rsidRPr="00D821F6" w:rsidRDefault="006D104C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 xml:space="preserve">(a) antikūnų prieš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sklerostiną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 xml:space="preserve">įvedamas </w:t>
      </w:r>
      <w:r w:rsidRPr="00D821F6">
        <w:rPr>
          <w:rFonts w:ascii="Helvetica" w:hAnsi="Helvetica" w:cs="Arial"/>
          <w:sz w:val="20"/>
          <w:szCs w:val="24"/>
          <w:lang w:val="lt-LT"/>
        </w:rPr>
        <w:t>kiekis yra apie 2 mg/kg arba apie 3 mg/kg;</w:t>
      </w:r>
    </w:p>
    <w:p w14:paraId="7EAFEC91" w14:textId="4F1AB6CC" w:rsidR="006D104C" w:rsidRPr="00D821F6" w:rsidRDefault="006D104C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 xml:space="preserve">(b) antikūnas yra 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 xml:space="preserve">įvedamas 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subjektui 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kartą 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>kas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dvi savaites; arba</w:t>
      </w:r>
    </w:p>
    <w:p w14:paraId="358D31E3" w14:textId="098AEC77" w:rsidR="006D104C" w:rsidRPr="00D821F6" w:rsidRDefault="006D104C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 xml:space="preserve">(c) antikūnas 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>subjektui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>įvedamas vieną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kartą per mėnesį.</w:t>
      </w:r>
    </w:p>
    <w:p w14:paraId="47D983FB" w14:textId="77777777" w:rsidR="006D104C" w:rsidRPr="00D821F6" w:rsidRDefault="006D104C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92F4F76" w14:textId="609979D8" w:rsidR="006D104C" w:rsidRPr="00D821F6" w:rsidRDefault="006D104C" w:rsidP="00D821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lastRenderedPageBreak/>
        <w:t xml:space="preserve">6. Antikūnas, skirtas naudoti pagal 1 punktą, 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>kur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antikūnas arba jo fragmentas apima: a) 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 xml:space="preserve">CDR sekas 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SEQ ID Nr. 54, 55 ir 56 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 xml:space="preserve">ir </w:t>
      </w:r>
      <w:r w:rsidRPr="00D821F6">
        <w:rPr>
          <w:rFonts w:ascii="Helvetica" w:hAnsi="Helvetica" w:cs="Arial"/>
          <w:sz w:val="20"/>
          <w:szCs w:val="24"/>
          <w:lang w:val="lt-LT"/>
        </w:rPr>
        <w:t>CDR sekas SEQ ID Nr. 51, 52 ir 53 CDR; b)</w:t>
      </w:r>
      <w:r w:rsidR="001B773B" w:rsidRPr="00D821F6">
        <w:rPr>
          <w:rFonts w:ascii="Helvetica" w:hAnsi="Helvetica" w:cs="Arial"/>
          <w:color w:val="0B2A43"/>
          <w:sz w:val="20"/>
          <w:szCs w:val="24"/>
          <w:shd w:val="clear" w:color="auto" w:fill="FFFFFF"/>
          <w:lang w:val="lt-LT"/>
        </w:rPr>
        <w:t xml:space="preserve"> CDR sekas SEQ ID Nr. 60, 61 ir 62 ir CDR sekas SEQ ID Nr. 57, 58 ir 59; c) CDR sekas SEQ ID Nr. 48, 49 ir 50 ir CDR sekas SEQ ID Nr. 45, 46 ir 47; d) CDR sekas SEQ ID Nr. 42, 43 ir 44 ir CDR sekas SEQ ID Nr. 39, 40 ir 41; e) CDR sekas SEQ ID Nr. 275, 276 ir 277 ir CDR sekas SEQ ID Nr. 287, 288 ir 289; f) CDR sekas SEQ ID Nr. 278, 279 ir 280 ir CDR sekas SEQ ID Nr. 290, 291 ir 292; g) CDR sekas SEQ ID Nr. 78, 79 ir 80 ir CDR sekas SEQ ID Nr. 245, 246 ir 247; h) CDR sekas SEQ ID Nr. 81, 99 ir 100 ir CDR sekas SEQ ID Nr. 248, 249 ir 250; i) CDR sekas SEQ ID Nr. 101, 102 ir 103 ir CDR sekas SEQ ID Nr. 251, 252 ir 253; j) CDR sekas SEQ ID Nr. 104, 105 ir 106 ir CDR sekas SEQ ID Nr. 254, 255 ir 256; k) CDR sekas SEQ ID Nr. 107, 108 ir 109 ir CDR sekas SEQ ID Nr. 257, 258 ir 259; l) CDR sekas SEQ ID Nr. 110, 111 ir 112 ir CDR sekas SEQ ID Nr. 260, 261 ir 262; m) CDR sekas SEQ ID Nr. 281, 282 ir 283 ir CDR sekas SEQ ID Nr. 293, 294 ir 295; n) CDR sekas SEQ ID Nr. 113, 114 ir 115 ir CDR sekas SEQ ID Nr. 263, 264 ir 265; o) CDR sekas SEQ ID Nr. 284, 285 ir 286 ir CDR sekas SEQ ID Nr. 296, 297 ir 298; p) CDR sekas SEQ ID Nr. 116, 237 ir 238 ir CDR sekas SEQ ID Nr. 266, 267 ir 268; q) CDR sekas SEQ ID Nr. 239, 240 ir 241 ir CDR sekas SEQ ID Nr. 269, 270 ir 271; r) CDR sekas SEQ ID Nr. 242, 243 ir 244 ir CDR sekas SEQ ID Nr. 272, 273 ir 274; arba s) CDR sekas SEQ ID Nr. 351, 352 ir 353 ir CDR sekas SEQ ID Nr. 358, 359 ir 360</w:t>
      </w:r>
      <w:r w:rsidRPr="00D821F6">
        <w:rPr>
          <w:rFonts w:ascii="Helvetica" w:hAnsi="Helvetica" w:cs="Arial"/>
          <w:sz w:val="20"/>
          <w:szCs w:val="24"/>
          <w:lang w:val="lt-LT"/>
        </w:rPr>
        <w:t>.</w:t>
      </w:r>
    </w:p>
    <w:p w14:paraId="4071B13D" w14:textId="77777777" w:rsidR="006D104C" w:rsidRPr="00D821F6" w:rsidRDefault="006D104C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4C90E46" w14:textId="2E54B2EF" w:rsidR="006D104C" w:rsidRPr="00D821F6" w:rsidRDefault="006D104C" w:rsidP="00D821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 xml:space="preserve">7. Antikūnas, skirtas naudoti pagal 6 punktą, </w:t>
      </w:r>
      <w:r w:rsidR="00E55E5D" w:rsidRPr="00D821F6">
        <w:rPr>
          <w:rFonts w:ascii="Helvetica" w:hAnsi="Helvetica" w:cs="Arial"/>
          <w:sz w:val="20"/>
          <w:szCs w:val="24"/>
          <w:lang w:val="lt-LT"/>
        </w:rPr>
        <w:t>kur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antikūnas arba jo fragmentas apima </w:t>
      </w:r>
      <w:r w:rsidR="00E55E5D" w:rsidRPr="00D821F6">
        <w:rPr>
          <w:rFonts w:ascii="Helvetica" w:hAnsi="Helvetica" w:cs="Arial"/>
          <w:sz w:val="20"/>
          <w:szCs w:val="24"/>
          <w:lang w:val="lt-LT"/>
        </w:rPr>
        <w:t>CDRH-1, CDR-H2, CDR-H3, CDR-L1 CDR-L2 ir CDR-L3</w:t>
      </w:r>
      <w:r w:rsidRPr="00D821F6">
        <w:rPr>
          <w:rFonts w:ascii="Helvetica" w:hAnsi="Helvetica" w:cs="Arial"/>
          <w:sz w:val="20"/>
          <w:szCs w:val="24"/>
          <w:lang w:val="lt-LT"/>
        </w:rPr>
        <w:t>, kur (a)</w:t>
      </w:r>
      <w:r w:rsidR="00E55E5D" w:rsidRPr="00D821F6">
        <w:rPr>
          <w:rFonts w:ascii="Helvetica" w:hAnsi="Helvetica"/>
          <w:sz w:val="20"/>
          <w:lang w:val="lt-LT"/>
        </w:rPr>
        <w:t xml:space="preserve"> </w:t>
      </w:r>
      <w:r w:rsidR="00E55E5D" w:rsidRPr="00D821F6">
        <w:rPr>
          <w:rFonts w:ascii="Helvetica" w:hAnsi="Helvetica" w:cs="Arial"/>
          <w:sz w:val="20"/>
          <w:szCs w:val="24"/>
          <w:lang w:val="lt-LT"/>
        </w:rPr>
        <w:t xml:space="preserve">CDR-H1 yra SEQ ID Nr. 245, CDR-H2 yra SEQ ID Nr. 246, CDR-H3 yra SEQ ID Nr. 247, CDR-L1 yra SEQ ID Nr. 78, CDR-L2 yra SEQ ID Nr. 79 ir CDR-L3 yra SEQ ID Nr. 80; </w:t>
      </w:r>
      <w:proofErr w:type="spellStart"/>
      <w:r w:rsidR="00E55E5D" w:rsidRPr="00D821F6">
        <w:rPr>
          <w:rFonts w:ascii="Helvetica" w:hAnsi="Helvetica" w:cs="Arial"/>
          <w:sz w:val="20"/>
          <w:szCs w:val="24"/>
          <w:lang w:val="lt-LT"/>
        </w:rPr>
        <w:t>or</w:t>
      </w:r>
      <w:proofErr w:type="spellEnd"/>
      <w:r w:rsidR="00E55E5D" w:rsidRPr="00D821F6">
        <w:rPr>
          <w:rFonts w:ascii="Helvetica" w:hAnsi="Helvetica" w:cs="Arial"/>
          <w:sz w:val="20"/>
          <w:szCs w:val="24"/>
          <w:lang w:val="lt-LT"/>
        </w:rPr>
        <w:t xml:space="preserve"> (b) CDR-H1 yra SEQ ID Nr. 269, CDR-H2 yra SEQ ID Nr. 270, CDR-H3 yra SEQ ID Nr. 271, CDR-L1 yra SEQ ID Nr. 239, CDR-L2 yra SEQ ID Nr. 240 ir CDR-L3 yra SEQ ID Nr. 241</w:t>
      </w:r>
      <w:r w:rsidRPr="00D821F6">
        <w:rPr>
          <w:rFonts w:ascii="Helvetica" w:hAnsi="Helvetica" w:cs="Arial"/>
          <w:sz w:val="20"/>
          <w:szCs w:val="24"/>
          <w:lang w:val="lt-LT"/>
        </w:rPr>
        <w:t>.</w:t>
      </w:r>
    </w:p>
    <w:p w14:paraId="10358480" w14:textId="77777777" w:rsidR="006D104C" w:rsidRPr="00D821F6" w:rsidRDefault="006D104C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028D9A5" w14:textId="74EEEE84" w:rsidR="006D104C" w:rsidRPr="00D821F6" w:rsidRDefault="006D104C" w:rsidP="00D821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 xml:space="preserve">8. Antikūnas, skirtas naudoti pagal bet kurį iš ankstesnių punktų, </w:t>
      </w:r>
      <w:r w:rsidR="00E55E5D" w:rsidRPr="00D821F6">
        <w:rPr>
          <w:rFonts w:ascii="Helvetica" w:hAnsi="Helvetica" w:cs="Arial"/>
          <w:sz w:val="20"/>
          <w:szCs w:val="24"/>
          <w:lang w:val="lt-LT"/>
        </w:rPr>
        <w:t>kur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antikūnas prieš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sklerostiną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apima CDR-H1, kurio SEQ ID Nr. 245, CDR-H2</w:t>
      </w:r>
      <w:r w:rsidR="00791A34" w:rsidRPr="00D821F6">
        <w:rPr>
          <w:rFonts w:ascii="Helvetica" w:hAnsi="Helvetica" w:cs="Arial"/>
          <w:sz w:val="20"/>
          <w:szCs w:val="24"/>
          <w:lang w:val="lt-LT"/>
        </w:rPr>
        <w:t>,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91A34" w:rsidRPr="00D821F6">
        <w:rPr>
          <w:rFonts w:ascii="Helvetica" w:hAnsi="Helvetica" w:cs="Arial"/>
          <w:sz w:val="20"/>
          <w:szCs w:val="24"/>
          <w:lang w:val="lt-LT"/>
        </w:rPr>
        <w:t>kurio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SEQ ID Nr. 246, CDR-H3</w:t>
      </w:r>
      <w:r w:rsidR="00791A34" w:rsidRPr="00D821F6">
        <w:rPr>
          <w:rFonts w:ascii="Helvetica" w:hAnsi="Helvetica" w:cs="Arial"/>
          <w:sz w:val="20"/>
          <w:szCs w:val="24"/>
          <w:lang w:val="lt-LT"/>
        </w:rPr>
        <w:t>,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91A34" w:rsidRPr="00D821F6">
        <w:rPr>
          <w:rFonts w:ascii="Helvetica" w:hAnsi="Helvetica" w:cs="Arial"/>
          <w:sz w:val="20"/>
          <w:szCs w:val="24"/>
          <w:lang w:val="lt-LT"/>
        </w:rPr>
        <w:t xml:space="preserve">kurio 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SEQ ID Nr. 247, </w:t>
      </w:r>
      <w:r w:rsidR="00791A34" w:rsidRPr="00D821F6">
        <w:rPr>
          <w:rFonts w:ascii="Helvetica" w:hAnsi="Helvetica" w:cs="Arial"/>
          <w:sz w:val="20"/>
          <w:szCs w:val="24"/>
          <w:lang w:val="lt-LT"/>
        </w:rPr>
        <w:t>CDR-L1, kurio SEQ ID Nr. 78, CDR-L2, kurio SEQ ID Nr. 79, ir CDR-L3, kurio SEQ ID Nr. 80</w:t>
      </w:r>
      <w:r w:rsidRPr="00D821F6">
        <w:rPr>
          <w:rFonts w:ascii="Helvetica" w:hAnsi="Helvetica" w:cs="Arial"/>
          <w:sz w:val="20"/>
          <w:szCs w:val="24"/>
          <w:lang w:val="lt-LT"/>
        </w:rPr>
        <w:t>.</w:t>
      </w:r>
    </w:p>
    <w:p w14:paraId="6A328327" w14:textId="77777777" w:rsidR="006D104C" w:rsidRPr="00D821F6" w:rsidRDefault="006D104C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EDE64E2" w14:textId="363A7F0A" w:rsidR="006D104C" w:rsidRPr="00D821F6" w:rsidRDefault="006D104C" w:rsidP="00D821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 xml:space="preserve">9. Antikūnas, skirtas naudoti pagal bet kurį iš ankstesnių punktų, </w:t>
      </w:r>
      <w:r w:rsidR="00791A34" w:rsidRPr="00D821F6">
        <w:rPr>
          <w:rFonts w:ascii="Helvetica" w:hAnsi="Helvetica" w:cs="Arial"/>
          <w:sz w:val="20"/>
          <w:szCs w:val="24"/>
          <w:lang w:val="lt-LT"/>
        </w:rPr>
        <w:t>kur</w:t>
      </w:r>
      <w:r w:rsidRPr="00D821F6">
        <w:rPr>
          <w:rFonts w:ascii="Helvetica" w:hAnsi="Helvetica" w:cs="Arial"/>
          <w:sz w:val="20"/>
          <w:szCs w:val="24"/>
          <w:lang w:val="lt-LT"/>
        </w:rPr>
        <w:t>:</w:t>
      </w:r>
    </w:p>
    <w:p w14:paraId="7F1238C4" w14:textId="77777777" w:rsidR="006D104C" w:rsidRPr="00D821F6" w:rsidRDefault="006D104C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 xml:space="preserve">a) antikūnas yra žmogaus antikūnas, humanizuotas antikūnas,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monokloninis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antikūnas arba chimerinis antikūnas; arba</w:t>
      </w:r>
    </w:p>
    <w:p w14:paraId="4D6A13C6" w14:textId="0604E29B" w:rsidR="006D104C" w:rsidRPr="00D821F6" w:rsidRDefault="006D104C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>b) antikūno jungimosi</w:t>
      </w:r>
      <w:r w:rsidR="00791A34" w:rsidRPr="00D821F6">
        <w:rPr>
          <w:rFonts w:ascii="Helvetica" w:hAnsi="Helvetica" w:cs="Arial"/>
          <w:sz w:val="20"/>
          <w:szCs w:val="24"/>
          <w:lang w:val="lt-LT"/>
        </w:rPr>
        <w:t xml:space="preserve"> giminingumas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91A34" w:rsidRPr="00D821F6">
        <w:rPr>
          <w:rFonts w:ascii="Helvetica" w:hAnsi="Helvetica" w:cs="Arial"/>
          <w:sz w:val="20"/>
          <w:szCs w:val="24"/>
          <w:lang w:val="lt-LT"/>
        </w:rPr>
        <w:t>prie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sklerostin</w:t>
      </w:r>
      <w:r w:rsidR="00791A34" w:rsidRPr="00D821F6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>, kurio SEQ ID Nr. 1</w:t>
      </w:r>
      <w:r w:rsidR="00791A34" w:rsidRPr="00D821F6">
        <w:rPr>
          <w:rFonts w:ascii="Helvetica" w:hAnsi="Helvetica" w:cs="Arial"/>
          <w:sz w:val="20"/>
          <w:szCs w:val="24"/>
          <w:lang w:val="lt-LT"/>
        </w:rPr>
        <w:t>,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yra mažesnis arba lygus 1 × 10</w:t>
      </w:r>
      <w:r w:rsidRPr="00D821F6">
        <w:rPr>
          <w:rFonts w:ascii="Helvetica" w:hAnsi="Helvetica" w:cs="Arial"/>
          <w:sz w:val="20"/>
          <w:szCs w:val="24"/>
          <w:vertAlign w:val="superscript"/>
          <w:lang w:val="lt-LT"/>
        </w:rPr>
        <w:t>-9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M.</w:t>
      </w:r>
    </w:p>
    <w:p w14:paraId="11EC2DBD" w14:textId="77777777" w:rsidR="006D104C" w:rsidRPr="00D821F6" w:rsidRDefault="006D104C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6AB9099" w14:textId="6D13C4FF" w:rsidR="006D104C" w:rsidRPr="00D821F6" w:rsidRDefault="006D104C" w:rsidP="00D821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 xml:space="preserve">10. Antikūnas, skirtas naudoti pagal bet kurį iš ankstesnių punktų, </w:t>
      </w:r>
      <w:r w:rsidR="00791A34" w:rsidRPr="00D821F6">
        <w:rPr>
          <w:rFonts w:ascii="Helvetica" w:hAnsi="Helvetica" w:cs="Arial"/>
          <w:sz w:val="20"/>
          <w:szCs w:val="24"/>
          <w:lang w:val="lt-LT"/>
        </w:rPr>
        <w:t>kur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žmogus </w:t>
      </w:r>
      <w:r w:rsidR="00791A34" w:rsidRPr="00D821F6">
        <w:rPr>
          <w:rFonts w:ascii="Helvetica" w:hAnsi="Helvetica" w:cs="Arial"/>
          <w:sz w:val="20"/>
          <w:szCs w:val="24"/>
          <w:lang w:val="lt-LT"/>
        </w:rPr>
        <w:t>serga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su kaulais susijusi</w:t>
      </w:r>
      <w:r w:rsidR="00791A34" w:rsidRPr="00D821F6">
        <w:rPr>
          <w:rFonts w:ascii="Helvetica" w:hAnsi="Helvetica" w:cs="Arial"/>
          <w:sz w:val="20"/>
          <w:szCs w:val="24"/>
          <w:lang w:val="lt-LT"/>
        </w:rPr>
        <w:t>u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sutrikim</w:t>
      </w:r>
      <w:r w:rsidR="00791A34" w:rsidRPr="00D821F6">
        <w:rPr>
          <w:rFonts w:ascii="Helvetica" w:hAnsi="Helvetica" w:cs="Arial"/>
          <w:sz w:val="20"/>
          <w:szCs w:val="24"/>
          <w:lang w:val="lt-LT"/>
        </w:rPr>
        <w:t>u</w:t>
      </w:r>
      <w:r w:rsidRPr="00D821F6">
        <w:rPr>
          <w:rFonts w:ascii="Helvetica" w:hAnsi="Helvetica" w:cs="Arial"/>
          <w:sz w:val="20"/>
          <w:szCs w:val="24"/>
          <w:lang w:val="lt-LT"/>
        </w:rPr>
        <w:t>, parinkt</w:t>
      </w:r>
      <w:r w:rsidR="00791A34" w:rsidRPr="00D821F6">
        <w:rPr>
          <w:rFonts w:ascii="Helvetica" w:hAnsi="Helvetica" w:cs="Arial"/>
          <w:sz w:val="20"/>
          <w:szCs w:val="24"/>
          <w:lang w:val="lt-LT"/>
        </w:rPr>
        <w:t>u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iš grupės, susidedančios iš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achondroplazijos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klieidranijinės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disostozės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enchondromatozės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fibrozinės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displazijos,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Gošė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ligos,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hipofosfateminio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rachito,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Marfano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sindrom</w:t>
      </w:r>
      <w:r w:rsidR="00791A34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dauginės paveldimos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egzotozės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neurofibromatozė</w:t>
      </w:r>
      <w:r w:rsidR="00791A34" w:rsidRPr="00D821F6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E0F16" w:rsidRPr="00D821F6">
        <w:rPr>
          <w:rFonts w:ascii="Helvetica" w:hAnsi="Helvetica" w:cs="Arial"/>
          <w:sz w:val="20"/>
          <w:szCs w:val="24"/>
          <w:lang w:val="lt-LT"/>
        </w:rPr>
        <w:t>trapių kaulų ligos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osteopetrozė</w:t>
      </w:r>
      <w:r w:rsidR="009E0F16" w:rsidRPr="00D821F6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osteopoikilozė</w:t>
      </w:r>
      <w:r w:rsidR="009E0F16" w:rsidRPr="00D821F6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>, sklerozini</w:t>
      </w:r>
      <w:r w:rsidR="009E0F16" w:rsidRPr="00D821F6">
        <w:rPr>
          <w:rFonts w:ascii="Helvetica" w:hAnsi="Helvetica" w:cs="Arial"/>
          <w:sz w:val="20"/>
          <w:szCs w:val="24"/>
          <w:lang w:val="lt-LT"/>
        </w:rPr>
        <w:t>ų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pažeidim</w:t>
      </w:r>
      <w:r w:rsidR="009E0F16" w:rsidRPr="00D821F6">
        <w:rPr>
          <w:rFonts w:ascii="Helvetica" w:hAnsi="Helvetica" w:cs="Arial"/>
          <w:sz w:val="20"/>
          <w:szCs w:val="24"/>
          <w:lang w:val="lt-LT"/>
        </w:rPr>
        <w:t>ų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pseudoartrozė</w:t>
      </w:r>
      <w:r w:rsidR="009E0F16" w:rsidRPr="00D821F6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piogenini</w:t>
      </w:r>
      <w:r w:rsidR="009E0F16" w:rsidRPr="00D821F6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osteomielit</w:t>
      </w:r>
      <w:r w:rsidR="009E0F16" w:rsidRPr="00D821F6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periodonto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lig</w:t>
      </w:r>
      <w:r w:rsidR="009E0F16" w:rsidRPr="00D821F6">
        <w:rPr>
          <w:rFonts w:ascii="Helvetica" w:hAnsi="Helvetica" w:cs="Arial"/>
          <w:sz w:val="20"/>
          <w:szCs w:val="24"/>
          <w:lang w:val="lt-LT"/>
        </w:rPr>
        <w:t>os</w:t>
      </w:r>
      <w:r w:rsidRPr="00D821F6">
        <w:rPr>
          <w:rFonts w:ascii="Helvetica" w:hAnsi="Helvetica" w:cs="Arial"/>
          <w:sz w:val="20"/>
          <w:szCs w:val="24"/>
          <w:lang w:val="lt-LT"/>
        </w:rPr>
        <w:t>, vaistų nuo epilepsijos sukelt</w:t>
      </w:r>
      <w:r w:rsidR="009E0F16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kaulų retėjim</w:t>
      </w:r>
      <w:r w:rsidR="009E0F16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pirmini</w:t>
      </w:r>
      <w:r w:rsidR="009E0F16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ir antrini</w:t>
      </w:r>
      <w:r w:rsidR="009E0F16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hiperparatiroidizm</w:t>
      </w:r>
      <w:r w:rsidR="009E0F16" w:rsidRPr="00D821F6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>, šeimini</w:t>
      </w:r>
      <w:r w:rsidR="009E0F16" w:rsidRPr="00D821F6">
        <w:rPr>
          <w:rFonts w:ascii="Helvetica" w:hAnsi="Helvetica" w:cs="Arial"/>
          <w:sz w:val="20"/>
          <w:szCs w:val="24"/>
          <w:lang w:val="lt-LT"/>
        </w:rPr>
        <w:t xml:space="preserve">o </w:t>
      </w:r>
      <w:proofErr w:type="spellStart"/>
      <w:r w:rsidR="009E0F16" w:rsidRPr="00D821F6">
        <w:rPr>
          <w:rFonts w:ascii="Helvetica" w:hAnsi="Helvetica" w:cs="Arial"/>
          <w:sz w:val="20"/>
          <w:szCs w:val="24"/>
          <w:lang w:val="lt-LT"/>
        </w:rPr>
        <w:t>hiperparatiroidizmo</w:t>
      </w:r>
      <w:proofErr w:type="spellEnd"/>
      <w:r w:rsidR="009E0F16" w:rsidRPr="00D821F6">
        <w:rPr>
          <w:rFonts w:ascii="Helvetica" w:hAnsi="Helvetica" w:cs="Arial"/>
          <w:sz w:val="20"/>
          <w:szCs w:val="24"/>
          <w:lang w:val="lt-LT"/>
        </w:rPr>
        <w:t xml:space="preserve"> sindromo,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E0F16" w:rsidRPr="00D821F6">
        <w:rPr>
          <w:rFonts w:ascii="Helvetica" w:hAnsi="Helvetica" w:cs="Arial"/>
          <w:sz w:val="20"/>
          <w:szCs w:val="24"/>
          <w:lang w:val="lt-LT"/>
        </w:rPr>
        <w:t xml:space="preserve">mažėjančio 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svorio </w:t>
      </w:r>
      <w:r w:rsidR="009E0F16" w:rsidRPr="00D821F6">
        <w:rPr>
          <w:rFonts w:ascii="Helvetica" w:hAnsi="Helvetica" w:cs="Arial"/>
          <w:sz w:val="20"/>
          <w:szCs w:val="24"/>
          <w:lang w:val="lt-LT"/>
        </w:rPr>
        <w:t>sukelto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kaulų </w:t>
      </w:r>
      <w:r w:rsidR="009E0F16" w:rsidRPr="00D821F6">
        <w:rPr>
          <w:rFonts w:ascii="Helvetica" w:hAnsi="Helvetica" w:cs="Arial"/>
          <w:sz w:val="20"/>
          <w:szCs w:val="24"/>
          <w:lang w:val="lt-LT"/>
        </w:rPr>
        <w:t>retėjimo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E0F16" w:rsidRPr="00D821F6">
        <w:rPr>
          <w:rFonts w:ascii="Helvetica" w:hAnsi="Helvetica" w:cs="Arial"/>
          <w:sz w:val="20"/>
          <w:szCs w:val="24"/>
          <w:lang w:val="lt-LT"/>
        </w:rPr>
        <w:t xml:space="preserve">vyrų osteoporozės, kaulų retėjimo po menopauzės, </w:t>
      </w:r>
      <w:proofErr w:type="spellStart"/>
      <w:r w:rsidR="009E0F16" w:rsidRPr="00D821F6">
        <w:rPr>
          <w:rFonts w:ascii="Helvetica" w:hAnsi="Helvetica" w:cs="Arial"/>
          <w:sz w:val="20"/>
          <w:szCs w:val="24"/>
          <w:lang w:val="lt-LT"/>
        </w:rPr>
        <w:t>osteoartrito</w:t>
      </w:r>
      <w:proofErr w:type="spellEnd"/>
      <w:r w:rsidR="009E0F16" w:rsidRPr="00D821F6">
        <w:rPr>
          <w:rFonts w:ascii="Helvetica" w:hAnsi="Helvetica" w:cs="Arial"/>
          <w:sz w:val="20"/>
          <w:szCs w:val="24"/>
          <w:lang w:val="lt-LT"/>
        </w:rPr>
        <w:t xml:space="preserve">, inkstų </w:t>
      </w:r>
      <w:proofErr w:type="spellStart"/>
      <w:r w:rsidR="009E0F16" w:rsidRPr="00D821F6">
        <w:rPr>
          <w:rFonts w:ascii="Helvetica" w:hAnsi="Helvetica" w:cs="Arial"/>
          <w:sz w:val="20"/>
          <w:szCs w:val="24"/>
          <w:lang w:val="lt-LT"/>
        </w:rPr>
        <w:t>osteodistrofijos</w:t>
      </w:r>
      <w:proofErr w:type="spellEnd"/>
      <w:r w:rsidR="009E0F16" w:rsidRPr="00D821F6">
        <w:rPr>
          <w:rFonts w:ascii="Helvetica" w:hAnsi="Helvetica" w:cs="Arial"/>
          <w:sz w:val="20"/>
          <w:szCs w:val="24"/>
          <w:lang w:val="lt-LT"/>
        </w:rPr>
        <w:t xml:space="preserve">, infiltracinių kaulų sutrikimų, burnos kaulų retėjimo, žandikaulio </w:t>
      </w:r>
      <w:proofErr w:type="spellStart"/>
      <w:r w:rsidR="009E0F16" w:rsidRPr="00D821F6">
        <w:rPr>
          <w:rFonts w:ascii="Helvetica" w:hAnsi="Helvetica" w:cs="Arial"/>
          <w:sz w:val="20"/>
          <w:szCs w:val="24"/>
          <w:lang w:val="lt-LT"/>
        </w:rPr>
        <w:t>osteonekrozės</w:t>
      </w:r>
      <w:proofErr w:type="spellEnd"/>
      <w:r w:rsidR="009E0F16" w:rsidRPr="00D821F6">
        <w:rPr>
          <w:rFonts w:ascii="Helvetica" w:hAnsi="Helvetica" w:cs="Arial"/>
          <w:sz w:val="20"/>
          <w:szCs w:val="24"/>
          <w:lang w:val="lt-LT"/>
        </w:rPr>
        <w:t xml:space="preserve">, jaunatvinės </w:t>
      </w:r>
      <w:proofErr w:type="spellStart"/>
      <w:r w:rsidR="009E0F16" w:rsidRPr="00D821F6">
        <w:rPr>
          <w:rFonts w:ascii="Helvetica" w:hAnsi="Helvetica" w:cs="Arial"/>
          <w:sz w:val="20"/>
          <w:szCs w:val="24"/>
          <w:lang w:val="lt-LT"/>
        </w:rPr>
        <w:t>Pedžeto</w:t>
      </w:r>
      <w:proofErr w:type="spellEnd"/>
      <w:r w:rsidR="009E0F16" w:rsidRPr="00D821F6">
        <w:rPr>
          <w:rFonts w:ascii="Helvetica" w:hAnsi="Helvetica" w:cs="Arial"/>
          <w:sz w:val="20"/>
          <w:szCs w:val="24"/>
          <w:lang w:val="lt-LT"/>
        </w:rPr>
        <w:t xml:space="preserve"> ligos, </w:t>
      </w:r>
      <w:proofErr w:type="spellStart"/>
      <w:r w:rsidR="009E0F16" w:rsidRPr="00D821F6">
        <w:rPr>
          <w:rFonts w:ascii="Helvetica" w:hAnsi="Helvetica" w:cs="Arial"/>
          <w:sz w:val="20"/>
          <w:szCs w:val="24"/>
          <w:lang w:val="lt-LT"/>
        </w:rPr>
        <w:t>melorheostozės</w:t>
      </w:r>
      <w:proofErr w:type="spellEnd"/>
      <w:r w:rsidR="009E0F16"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9E0F16" w:rsidRPr="00D821F6">
        <w:rPr>
          <w:rFonts w:ascii="Helvetica" w:hAnsi="Helvetica" w:cs="Arial"/>
          <w:sz w:val="20"/>
          <w:szCs w:val="24"/>
          <w:lang w:val="lt-LT"/>
        </w:rPr>
        <w:t>metabolinių</w:t>
      </w:r>
      <w:proofErr w:type="spellEnd"/>
      <w:r w:rsidR="009E0F16" w:rsidRPr="00D821F6">
        <w:rPr>
          <w:rFonts w:ascii="Helvetica" w:hAnsi="Helvetica" w:cs="Arial"/>
          <w:sz w:val="20"/>
          <w:szCs w:val="24"/>
          <w:lang w:val="lt-LT"/>
        </w:rPr>
        <w:t xml:space="preserve"> kaulų ligų, </w:t>
      </w:r>
      <w:proofErr w:type="spellStart"/>
      <w:r w:rsidR="009E0F16" w:rsidRPr="00D821F6">
        <w:rPr>
          <w:rFonts w:ascii="Helvetica" w:hAnsi="Helvetica" w:cs="Arial"/>
          <w:sz w:val="20"/>
          <w:szCs w:val="24"/>
          <w:lang w:val="lt-LT"/>
        </w:rPr>
        <w:t>mastocitozės</w:t>
      </w:r>
      <w:proofErr w:type="spellEnd"/>
      <w:r w:rsidR="009E0F16"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9E0F16" w:rsidRPr="00D821F6">
        <w:rPr>
          <w:rFonts w:ascii="Helvetica" w:hAnsi="Helvetica" w:cs="Arial"/>
          <w:sz w:val="20"/>
          <w:szCs w:val="24"/>
          <w:lang w:val="lt-LT"/>
        </w:rPr>
        <w:t>pjautuvinių</w:t>
      </w:r>
      <w:proofErr w:type="spellEnd"/>
      <w:r w:rsidR="009E0F16" w:rsidRPr="00D821F6">
        <w:rPr>
          <w:rFonts w:ascii="Helvetica" w:hAnsi="Helvetica" w:cs="Arial"/>
          <w:sz w:val="20"/>
          <w:szCs w:val="24"/>
          <w:lang w:val="lt-LT"/>
        </w:rPr>
        <w:t xml:space="preserve"> ląstelių anemijos/ligos, su organų persodinimu susijusio kaulų </w:t>
      </w:r>
      <w:proofErr w:type="spellStart"/>
      <w:r w:rsidR="009E0F16" w:rsidRPr="00D821F6">
        <w:rPr>
          <w:rFonts w:ascii="Helvetica" w:hAnsi="Helvetica" w:cs="Arial"/>
          <w:sz w:val="20"/>
          <w:szCs w:val="24"/>
          <w:lang w:val="lt-LT"/>
        </w:rPr>
        <w:t>kaulų</w:t>
      </w:r>
      <w:proofErr w:type="spellEnd"/>
      <w:r w:rsidR="009E0F16" w:rsidRPr="00D821F6">
        <w:rPr>
          <w:rFonts w:ascii="Helvetica" w:hAnsi="Helvetica" w:cs="Arial"/>
          <w:sz w:val="20"/>
          <w:szCs w:val="24"/>
          <w:lang w:val="lt-LT"/>
        </w:rPr>
        <w:t xml:space="preserve"> retėjimo,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 xml:space="preserve"> inkstų persodinimo sukelto kaulų retėjimo, sisteminės raudonosios vilkligės, </w:t>
      </w:r>
      <w:proofErr w:type="spellStart"/>
      <w:r w:rsidR="00213031" w:rsidRPr="00D821F6">
        <w:rPr>
          <w:rFonts w:ascii="Helvetica" w:hAnsi="Helvetica" w:cs="Arial"/>
          <w:sz w:val="20"/>
          <w:szCs w:val="24"/>
          <w:lang w:val="lt-LT"/>
        </w:rPr>
        <w:t>ankilozinio</w:t>
      </w:r>
      <w:proofErr w:type="spellEnd"/>
      <w:r w:rsidR="00213031" w:rsidRPr="00D821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13031" w:rsidRPr="00D821F6">
        <w:rPr>
          <w:rFonts w:ascii="Helvetica" w:hAnsi="Helvetica" w:cs="Arial"/>
          <w:sz w:val="20"/>
          <w:szCs w:val="24"/>
          <w:lang w:val="lt-LT"/>
        </w:rPr>
        <w:t>spondilito</w:t>
      </w:r>
      <w:proofErr w:type="spellEnd"/>
      <w:r w:rsidR="00213031" w:rsidRPr="00D821F6">
        <w:rPr>
          <w:rFonts w:ascii="Helvetica" w:hAnsi="Helvetica" w:cs="Arial"/>
          <w:sz w:val="20"/>
          <w:szCs w:val="24"/>
          <w:lang w:val="lt-LT"/>
        </w:rPr>
        <w:t xml:space="preserve">, epilepsijos, jaunatvinio artrito, </w:t>
      </w:r>
      <w:proofErr w:type="spellStart"/>
      <w:r w:rsidR="00213031" w:rsidRPr="00D821F6">
        <w:rPr>
          <w:rFonts w:ascii="Helvetica" w:hAnsi="Helvetica" w:cs="Arial"/>
          <w:sz w:val="20"/>
          <w:szCs w:val="24"/>
          <w:lang w:val="lt-LT"/>
        </w:rPr>
        <w:t>talasemijos</w:t>
      </w:r>
      <w:proofErr w:type="spellEnd"/>
      <w:r w:rsidR="00213031"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213031" w:rsidRPr="00D821F6">
        <w:rPr>
          <w:rFonts w:ascii="Helvetica" w:hAnsi="Helvetica" w:cs="Arial"/>
          <w:sz w:val="20"/>
          <w:szCs w:val="24"/>
          <w:lang w:val="lt-LT"/>
        </w:rPr>
        <w:t>mukopolisacharidozės</w:t>
      </w:r>
      <w:proofErr w:type="spellEnd"/>
      <w:r w:rsidR="00213031"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213031" w:rsidRPr="00D821F6">
        <w:rPr>
          <w:rFonts w:ascii="Helvetica" w:hAnsi="Helvetica" w:cs="Arial"/>
          <w:sz w:val="20"/>
          <w:szCs w:val="24"/>
          <w:lang w:val="lt-LT"/>
        </w:rPr>
        <w:t>Fabri</w:t>
      </w:r>
      <w:proofErr w:type="spellEnd"/>
      <w:r w:rsidR="00213031" w:rsidRPr="00D821F6">
        <w:rPr>
          <w:rFonts w:ascii="Helvetica" w:hAnsi="Helvetica" w:cs="Arial"/>
          <w:sz w:val="20"/>
          <w:szCs w:val="24"/>
          <w:lang w:val="lt-LT"/>
        </w:rPr>
        <w:t xml:space="preserve"> ligos, </w:t>
      </w:r>
      <w:proofErr w:type="spellStart"/>
      <w:r w:rsidR="00213031" w:rsidRPr="00D821F6">
        <w:rPr>
          <w:rFonts w:ascii="Helvetica" w:hAnsi="Helvetica" w:cs="Arial"/>
          <w:sz w:val="20"/>
          <w:szCs w:val="24"/>
          <w:lang w:val="lt-LT"/>
        </w:rPr>
        <w:t>Ternerio</w:t>
      </w:r>
      <w:proofErr w:type="spellEnd"/>
      <w:r w:rsidR="00213031" w:rsidRPr="00D821F6">
        <w:rPr>
          <w:rFonts w:ascii="Helvetica" w:hAnsi="Helvetica" w:cs="Arial"/>
          <w:sz w:val="20"/>
          <w:szCs w:val="24"/>
          <w:lang w:val="lt-LT"/>
        </w:rPr>
        <w:t xml:space="preserve"> sindromo, Dauno sindromo, </w:t>
      </w:r>
      <w:proofErr w:type="spellStart"/>
      <w:r w:rsidR="00213031" w:rsidRPr="00D821F6">
        <w:rPr>
          <w:rFonts w:ascii="Helvetica" w:hAnsi="Helvetica" w:cs="Arial"/>
          <w:sz w:val="20"/>
          <w:szCs w:val="24"/>
          <w:lang w:val="lt-LT"/>
        </w:rPr>
        <w:t>Klinefelterio</w:t>
      </w:r>
      <w:proofErr w:type="spellEnd"/>
      <w:r w:rsidR="00213031" w:rsidRPr="00D821F6">
        <w:rPr>
          <w:rFonts w:ascii="Helvetica" w:hAnsi="Helvetica" w:cs="Arial"/>
          <w:sz w:val="20"/>
          <w:szCs w:val="24"/>
          <w:lang w:val="lt-LT"/>
        </w:rPr>
        <w:t xml:space="preserve"> sindromo, raupsų, </w:t>
      </w:r>
      <w:proofErr w:type="spellStart"/>
      <w:r w:rsidR="00213031" w:rsidRPr="00D821F6">
        <w:rPr>
          <w:rFonts w:ascii="Helvetica" w:hAnsi="Helvetica" w:cs="Arial"/>
          <w:sz w:val="20"/>
          <w:szCs w:val="24"/>
          <w:lang w:val="lt-LT"/>
        </w:rPr>
        <w:lastRenderedPageBreak/>
        <w:t>Perteso</w:t>
      </w:r>
      <w:proofErr w:type="spellEnd"/>
      <w:r w:rsidR="00213031" w:rsidRPr="00D821F6">
        <w:rPr>
          <w:rFonts w:ascii="Helvetica" w:hAnsi="Helvetica" w:cs="Arial"/>
          <w:sz w:val="20"/>
          <w:szCs w:val="24"/>
          <w:lang w:val="lt-LT"/>
        </w:rPr>
        <w:t xml:space="preserve"> ligos, paauglių idiopatinės skoliozės, kūdikystėje prasidedančios </w:t>
      </w:r>
      <w:proofErr w:type="spellStart"/>
      <w:r w:rsidR="00213031" w:rsidRPr="00D821F6">
        <w:rPr>
          <w:rFonts w:ascii="Helvetica" w:hAnsi="Helvetica" w:cs="Arial"/>
          <w:sz w:val="20"/>
          <w:szCs w:val="24"/>
          <w:lang w:val="lt-LT"/>
        </w:rPr>
        <w:t>daugiasistemės</w:t>
      </w:r>
      <w:proofErr w:type="spellEnd"/>
      <w:r w:rsidR="00213031" w:rsidRPr="00D821F6">
        <w:rPr>
          <w:rFonts w:ascii="Helvetica" w:hAnsi="Helvetica" w:cs="Arial"/>
          <w:sz w:val="20"/>
          <w:szCs w:val="24"/>
          <w:lang w:val="lt-LT"/>
        </w:rPr>
        <w:t xml:space="preserve"> uždegiminės ligos, Vinčesterio sindromo, </w:t>
      </w:r>
      <w:proofErr w:type="spellStart"/>
      <w:r w:rsidR="00213031" w:rsidRPr="00D821F6">
        <w:rPr>
          <w:rFonts w:ascii="Helvetica" w:hAnsi="Helvetica" w:cs="Arial"/>
          <w:sz w:val="20"/>
          <w:szCs w:val="24"/>
          <w:lang w:val="lt-LT"/>
        </w:rPr>
        <w:t>Menkeso</w:t>
      </w:r>
      <w:proofErr w:type="spellEnd"/>
      <w:r w:rsidR="00213031" w:rsidRPr="00D821F6">
        <w:rPr>
          <w:rFonts w:ascii="Helvetica" w:hAnsi="Helvetica" w:cs="Arial"/>
          <w:sz w:val="20"/>
          <w:szCs w:val="24"/>
          <w:lang w:val="lt-LT"/>
        </w:rPr>
        <w:t xml:space="preserve"> ligos, Vilsono ligos, išeminės kaulų ligos (pvz., </w:t>
      </w:r>
      <w:proofErr w:type="spellStart"/>
      <w:r w:rsidR="00213031" w:rsidRPr="00D821F6">
        <w:rPr>
          <w:rFonts w:ascii="Helvetica" w:hAnsi="Helvetica" w:cs="Arial"/>
          <w:sz w:val="20"/>
          <w:szCs w:val="24"/>
          <w:lang w:val="lt-LT"/>
        </w:rPr>
        <w:t>Lego</w:t>
      </w:r>
      <w:proofErr w:type="spellEnd"/>
      <w:r w:rsidR="00213031" w:rsidRPr="00D821F6">
        <w:rPr>
          <w:rFonts w:ascii="Helvetica" w:hAnsi="Helvetica" w:cs="Arial"/>
          <w:sz w:val="20"/>
          <w:szCs w:val="24"/>
          <w:lang w:val="lt-LT"/>
        </w:rPr>
        <w:t>-Kalve-</w:t>
      </w:r>
      <w:proofErr w:type="spellStart"/>
      <w:r w:rsidR="00213031" w:rsidRPr="00D821F6">
        <w:rPr>
          <w:rFonts w:ascii="Helvetica" w:hAnsi="Helvetica" w:cs="Arial"/>
          <w:sz w:val="20"/>
          <w:szCs w:val="24"/>
          <w:lang w:val="lt-LT"/>
        </w:rPr>
        <w:t>Perteso</w:t>
      </w:r>
      <w:proofErr w:type="spellEnd"/>
      <w:r w:rsidR="00213031" w:rsidRPr="00D821F6">
        <w:rPr>
          <w:rFonts w:ascii="Helvetica" w:hAnsi="Helvetica" w:cs="Arial"/>
          <w:sz w:val="20"/>
          <w:szCs w:val="24"/>
          <w:lang w:val="lt-LT"/>
        </w:rPr>
        <w:t xml:space="preserve"> ligos, regioninės migracinės osteoporozės), anemijos būklės, steroidų sukeltų būklių, </w:t>
      </w:r>
      <w:proofErr w:type="spellStart"/>
      <w:r w:rsidR="00213031" w:rsidRPr="00D821F6">
        <w:rPr>
          <w:rFonts w:ascii="Helvetica" w:hAnsi="Helvetica" w:cs="Arial"/>
          <w:sz w:val="20"/>
          <w:szCs w:val="24"/>
          <w:lang w:val="lt-LT"/>
        </w:rPr>
        <w:t>gliukokortikoidų</w:t>
      </w:r>
      <w:proofErr w:type="spellEnd"/>
      <w:r w:rsidR="00213031" w:rsidRPr="00D821F6">
        <w:rPr>
          <w:rFonts w:ascii="Helvetica" w:hAnsi="Helvetica" w:cs="Arial"/>
          <w:sz w:val="20"/>
          <w:szCs w:val="24"/>
          <w:lang w:val="lt-LT"/>
        </w:rPr>
        <w:t xml:space="preserve"> sukelto kaulų retėjimo, </w:t>
      </w:r>
      <w:r w:rsidRPr="00D821F6">
        <w:rPr>
          <w:rFonts w:ascii="Helvetica" w:hAnsi="Helvetica" w:cs="Arial"/>
          <w:sz w:val="20"/>
          <w:szCs w:val="24"/>
          <w:lang w:val="lt-LT"/>
        </w:rPr>
        <w:t>heparino sukelt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kaulų retėjim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kaulų čiulp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ų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sutrikim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ų</w:t>
      </w:r>
      <w:r w:rsidRPr="00D821F6">
        <w:rPr>
          <w:rFonts w:ascii="Helvetica" w:hAnsi="Helvetica" w:cs="Arial"/>
          <w:sz w:val="20"/>
          <w:szCs w:val="24"/>
          <w:lang w:val="lt-LT"/>
        </w:rPr>
        <w:t>, skorbut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netinkam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mityb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os</w:t>
      </w:r>
      <w:r w:rsidRPr="00D821F6">
        <w:rPr>
          <w:rFonts w:ascii="Helvetica" w:hAnsi="Helvetica" w:cs="Arial"/>
          <w:sz w:val="20"/>
          <w:szCs w:val="24"/>
          <w:lang w:val="lt-LT"/>
        </w:rPr>
        <w:t>, kalcio trūkum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osteoporozė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osteopenij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>, alkoholizm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lėtinė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kepenų lig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postmenopauz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inės</w:t>
      </w:r>
      <w:proofErr w:type="spellEnd"/>
      <w:r w:rsidR="00213031" w:rsidRPr="00D821F6">
        <w:rPr>
          <w:rFonts w:ascii="Helvetica" w:hAnsi="Helvetica" w:cs="Arial"/>
          <w:sz w:val="20"/>
          <w:szCs w:val="24"/>
          <w:lang w:val="lt-LT"/>
        </w:rPr>
        <w:t xml:space="preserve"> būklės</w:t>
      </w:r>
      <w:r w:rsidRPr="00D821F6">
        <w:rPr>
          <w:rFonts w:ascii="Helvetica" w:hAnsi="Helvetica" w:cs="Arial"/>
          <w:sz w:val="20"/>
          <w:szCs w:val="24"/>
          <w:lang w:val="lt-LT"/>
        </w:rPr>
        <w:t>, lėtinės uždegiminės ligos, reumatoidini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artrit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uždegiminė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žarnyno lig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os</w:t>
      </w:r>
      <w:r w:rsidRPr="00D821F6">
        <w:rPr>
          <w:rFonts w:ascii="Helvetica" w:hAnsi="Helvetica" w:cs="Arial"/>
          <w:sz w:val="20"/>
          <w:szCs w:val="24"/>
          <w:lang w:val="lt-LT"/>
        </w:rPr>
        <w:t>, opini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kolit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uždegimini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kolit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Krono lig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oligomenorėj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>, amenorėj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os</w:t>
      </w:r>
      <w:r w:rsidRPr="00D821F6">
        <w:rPr>
          <w:rFonts w:ascii="Helvetica" w:hAnsi="Helvetica" w:cs="Arial"/>
          <w:sz w:val="20"/>
          <w:szCs w:val="24"/>
          <w:lang w:val="lt-LT"/>
        </w:rPr>
        <w:t>, nėštum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cukrini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diabet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hipertiroidizm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>, skydliaukės sutrikim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ų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prieskydinės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liaukos sutrikim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ų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Kušingo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lig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akromegalij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hipogonadizm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>, imobiliza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vimo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213031" w:rsidRPr="00D821F6">
        <w:rPr>
          <w:rFonts w:ascii="Helvetica" w:hAnsi="Helvetica" w:cs="Arial"/>
          <w:sz w:val="20"/>
          <w:szCs w:val="24"/>
          <w:lang w:val="lt-LT"/>
        </w:rPr>
        <w:t>disfunkcijos</w:t>
      </w:r>
      <w:r w:rsidRPr="00D821F6">
        <w:rPr>
          <w:rFonts w:ascii="Helvetica" w:hAnsi="Helvetica" w:cs="Arial"/>
          <w:sz w:val="20"/>
          <w:szCs w:val="24"/>
          <w:lang w:val="lt-LT"/>
        </w:rPr>
        <w:t>, refleksinės simpatinės distrofijos sindrom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sritinės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osteoporozė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osteomaliacij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>, kaulų retėjim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susij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usio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su sąnarių pakeitimu, su ŽIV susij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usio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kaulų retėjim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kaulų retėjim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susij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usio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su augimo hormono praradimu, kaulų retėjim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susij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usio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su cistine fibroze, su chemoterapija susij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usio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kaulų retėjim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naviko sukelt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kaulų retėjim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su vėžiu susij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usio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kaulų retėjim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, hormonų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abliacinis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D821F6">
        <w:rPr>
          <w:rFonts w:ascii="Helvetica" w:hAnsi="Helvetica" w:cs="Arial"/>
          <w:sz w:val="20"/>
          <w:szCs w:val="24"/>
          <w:lang w:val="lt-LT"/>
        </w:rPr>
        <w:t xml:space="preserve"> kaulų retėjim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dauginė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mielom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os</w:t>
      </w:r>
      <w:r w:rsidRPr="00D821F6">
        <w:rPr>
          <w:rFonts w:ascii="Helvetica" w:hAnsi="Helvetica" w:cs="Arial"/>
          <w:sz w:val="20"/>
          <w:szCs w:val="24"/>
          <w:lang w:val="lt-LT"/>
        </w:rPr>
        <w:t>, vaistų sukelt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kaulų retėjim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nervinė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anoreksij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os</w:t>
      </w:r>
      <w:r w:rsidRPr="00D821F6">
        <w:rPr>
          <w:rFonts w:ascii="Helvetica" w:hAnsi="Helvetica" w:cs="Arial"/>
          <w:sz w:val="20"/>
          <w:szCs w:val="24"/>
          <w:lang w:val="lt-LT"/>
        </w:rPr>
        <w:t>, su liga susij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usio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veido kaulų retėjim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su liga susij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usio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kaukolės kaulų retėjim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su liga susij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usio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žandikaulio kaulų retėjim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su liga susijęs kaukolės kaulų retėjim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su senėjimu susij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usio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kaulų retėjim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su senėjimu susij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usio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veido kaulų retėjim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su senėjimu susij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usio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kaukolės kaulų retėjim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su senėjimu susij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usio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žandikaulio kaulų retėjim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>, su senėjimu susij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usio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kaukolės kaulų retėjim</w:t>
      </w:r>
      <w:r w:rsidR="007C5465" w:rsidRPr="00D821F6">
        <w:rPr>
          <w:rFonts w:ascii="Helvetica" w:hAnsi="Helvetica" w:cs="Arial"/>
          <w:sz w:val="20"/>
          <w:szCs w:val="24"/>
          <w:lang w:val="lt-LT"/>
        </w:rPr>
        <w:t>o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ir kaulų retėjimu, susijusiu su kelionėmis kosmose.</w:t>
      </w:r>
    </w:p>
    <w:p w14:paraId="3ED708E3" w14:textId="77777777" w:rsidR="006D104C" w:rsidRPr="00D821F6" w:rsidRDefault="006D104C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A7CB4FF" w14:textId="2358FCEF" w:rsidR="006D104C" w:rsidRPr="00D821F6" w:rsidRDefault="006D104C" w:rsidP="00D821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 xml:space="preserve">11. Antikūnas, skirtas naudoti pagal bet kurį iš ankstesnių punktų, </w:t>
      </w:r>
      <w:r w:rsidR="00C955B9" w:rsidRPr="00D821F6">
        <w:rPr>
          <w:rFonts w:ascii="Helvetica" w:hAnsi="Helvetica" w:cs="Arial"/>
          <w:sz w:val="20"/>
          <w:szCs w:val="24"/>
          <w:lang w:val="lt-LT"/>
        </w:rPr>
        <w:t>kur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žmogus yra moteris po menopauzės.</w:t>
      </w:r>
    </w:p>
    <w:p w14:paraId="7D386DE1" w14:textId="77777777" w:rsidR="006D104C" w:rsidRPr="00D821F6" w:rsidRDefault="006D104C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8DC495F" w14:textId="76686139" w:rsidR="006D104C" w:rsidRPr="00D821F6" w:rsidRDefault="006D104C" w:rsidP="00D821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 xml:space="preserve">12. Antikūnas, 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>skirtas naudoti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pagal bet kurį iš ankstesnių punktų, </w:t>
      </w:r>
      <w:r w:rsidR="00C955B9" w:rsidRPr="00D821F6">
        <w:rPr>
          <w:rFonts w:ascii="Helvetica" w:hAnsi="Helvetica" w:cs="Arial"/>
          <w:sz w:val="20"/>
          <w:szCs w:val="24"/>
          <w:lang w:val="lt-LT"/>
        </w:rPr>
        <w:t>kur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žmogus </w:t>
      </w:r>
      <w:r w:rsidR="00C955B9" w:rsidRPr="00D821F6">
        <w:rPr>
          <w:rFonts w:ascii="Helvetica" w:hAnsi="Helvetica" w:cs="Arial"/>
          <w:sz w:val="20"/>
          <w:szCs w:val="24"/>
          <w:lang w:val="lt-LT"/>
        </w:rPr>
        <w:t>serga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osteoporoz</w:t>
      </w:r>
      <w:r w:rsidR="00C955B9" w:rsidRPr="00D821F6">
        <w:rPr>
          <w:rFonts w:ascii="Helvetica" w:hAnsi="Helvetica" w:cs="Arial"/>
          <w:sz w:val="20"/>
          <w:szCs w:val="24"/>
          <w:lang w:val="lt-LT"/>
        </w:rPr>
        <w:t>e</w:t>
      </w:r>
      <w:r w:rsidRPr="00D821F6">
        <w:rPr>
          <w:rFonts w:ascii="Helvetica" w:hAnsi="Helvetica" w:cs="Arial"/>
          <w:sz w:val="20"/>
          <w:szCs w:val="24"/>
          <w:lang w:val="lt-LT"/>
        </w:rPr>
        <w:t>.</w:t>
      </w:r>
    </w:p>
    <w:p w14:paraId="35F7AC6F" w14:textId="77777777" w:rsidR="006D104C" w:rsidRPr="00D821F6" w:rsidRDefault="006D104C" w:rsidP="00D821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1941E41" w14:textId="40896964" w:rsidR="006D104C" w:rsidRPr="00D821F6" w:rsidRDefault="006D104C" w:rsidP="00D821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821F6">
        <w:rPr>
          <w:rFonts w:ascii="Helvetica" w:hAnsi="Helvetica" w:cs="Arial"/>
          <w:sz w:val="20"/>
          <w:szCs w:val="24"/>
          <w:lang w:val="lt-LT"/>
        </w:rPr>
        <w:t xml:space="preserve">13. Antikūnas, </w:t>
      </w:r>
      <w:r w:rsidR="003D3D11" w:rsidRPr="00D821F6">
        <w:rPr>
          <w:rFonts w:ascii="Helvetica" w:hAnsi="Helvetica" w:cs="Arial"/>
          <w:sz w:val="20"/>
          <w:szCs w:val="24"/>
          <w:lang w:val="lt-LT"/>
        </w:rPr>
        <w:t>skirtas naudoti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pagal bet kurį iš ankstesnių punktų, </w:t>
      </w:r>
      <w:r w:rsidR="00C955B9" w:rsidRPr="00D821F6">
        <w:rPr>
          <w:rFonts w:ascii="Helvetica" w:hAnsi="Helvetica" w:cs="Arial"/>
          <w:sz w:val="20"/>
          <w:szCs w:val="24"/>
          <w:lang w:val="lt-LT"/>
        </w:rPr>
        <w:t>kuris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sumažina Ab-4 arba Ab-13 </w:t>
      </w:r>
      <w:proofErr w:type="spellStart"/>
      <w:r w:rsidRPr="00D821F6">
        <w:rPr>
          <w:rFonts w:ascii="Helvetica" w:hAnsi="Helvetica" w:cs="Arial"/>
          <w:sz w:val="20"/>
          <w:szCs w:val="24"/>
          <w:lang w:val="lt-LT"/>
        </w:rPr>
        <w:t>sklerostino</w:t>
      </w:r>
      <w:proofErr w:type="spellEnd"/>
      <w:r w:rsidR="00C955B9" w:rsidRPr="00D821F6">
        <w:rPr>
          <w:rFonts w:ascii="Helvetica" w:hAnsi="Helvetica" w:cs="Arial"/>
          <w:sz w:val="20"/>
          <w:szCs w:val="24"/>
          <w:lang w:val="lt-LT"/>
        </w:rPr>
        <w:t xml:space="preserve"> surišimą</w:t>
      </w:r>
      <w:r w:rsidRPr="00D821F6">
        <w:rPr>
          <w:rFonts w:ascii="Helvetica" w:hAnsi="Helvetica" w:cs="Arial"/>
          <w:sz w:val="20"/>
          <w:szCs w:val="24"/>
          <w:lang w:val="lt-LT"/>
        </w:rPr>
        <w:t xml:space="preserve"> tarp 40 % ir 100 %, 60 % ir 100 %, 70 % ir 100 % arba 80 %</w:t>
      </w:r>
      <w:r w:rsidR="009F211D" w:rsidRPr="00D821F6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D821F6">
        <w:rPr>
          <w:rFonts w:ascii="Helvetica" w:hAnsi="Helvetica" w:cs="Arial"/>
          <w:sz w:val="20"/>
          <w:szCs w:val="24"/>
          <w:lang w:val="lt-LT"/>
        </w:rPr>
        <w:t>100</w:t>
      </w:r>
      <w:r w:rsidR="009F211D" w:rsidRPr="00D821F6">
        <w:rPr>
          <w:rFonts w:ascii="Helvetica" w:hAnsi="Helvetica" w:cs="Arial"/>
          <w:sz w:val="20"/>
          <w:szCs w:val="24"/>
          <w:lang w:val="lt-LT"/>
        </w:rPr>
        <w:t xml:space="preserve"> %</w:t>
      </w:r>
      <w:r w:rsidRPr="00D821F6">
        <w:rPr>
          <w:rFonts w:ascii="Helvetica" w:hAnsi="Helvetica" w:cs="Arial"/>
          <w:sz w:val="20"/>
          <w:szCs w:val="24"/>
          <w:lang w:val="lt-LT"/>
        </w:rPr>
        <w:t>.</w:t>
      </w:r>
    </w:p>
    <w:sectPr w:rsidR="006D104C" w:rsidRPr="00D821F6" w:rsidSect="00D821F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FE56" w14:textId="77777777" w:rsidR="00A3626F" w:rsidRDefault="00A3626F" w:rsidP="007B0A41">
      <w:pPr>
        <w:spacing w:after="0" w:line="240" w:lineRule="auto"/>
      </w:pPr>
      <w:r>
        <w:separator/>
      </w:r>
    </w:p>
  </w:endnote>
  <w:endnote w:type="continuationSeparator" w:id="0">
    <w:p w14:paraId="2C524F7C" w14:textId="77777777" w:rsidR="00A3626F" w:rsidRDefault="00A3626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3D47" w14:textId="77777777" w:rsidR="00A3626F" w:rsidRDefault="00A3626F" w:rsidP="007B0A41">
      <w:pPr>
        <w:spacing w:after="0" w:line="240" w:lineRule="auto"/>
      </w:pPr>
      <w:r>
        <w:separator/>
      </w:r>
    </w:p>
  </w:footnote>
  <w:footnote w:type="continuationSeparator" w:id="0">
    <w:p w14:paraId="449F961E" w14:textId="77777777" w:rsidR="00A3626F" w:rsidRDefault="00A3626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B773B"/>
    <w:rsid w:val="001C33D1"/>
    <w:rsid w:val="001F266E"/>
    <w:rsid w:val="00206546"/>
    <w:rsid w:val="00213031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3D11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2F7E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04C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1A34"/>
    <w:rsid w:val="00792C7E"/>
    <w:rsid w:val="00795D58"/>
    <w:rsid w:val="007A4B6F"/>
    <w:rsid w:val="007B0A41"/>
    <w:rsid w:val="007C0A0D"/>
    <w:rsid w:val="007C18AB"/>
    <w:rsid w:val="007C5465"/>
    <w:rsid w:val="007C60FE"/>
    <w:rsid w:val="007C6593"/>
    <w:rsid w:val="007D7E01"/>
    <w:rsid w:val="007E2023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137"/>
    <w:rsid w:val="00972206"/>
    <w:rsid w:val="009766FA"/>
    <w:rsid w:val="0098532A"/>
    <w:rsid w:val="00992879"/>
    <w:rsid w:val="009B2E35"/>
    <w:rsid w:val="009B6C12"/>
    <w:rsid w:val="009C10C1"/>
    <w:rsid w:val="009D243F"/>
    <w:rsid w:val="009D77D6"/>
    <w:rsid w:val="009E0F16"/>
    <w:rsid w:val="009F211D"/>
    <w:rsid w:val="00A02F0C"/>
    <w:rsid w:val="00A07615"/>
    <w:rsid w:val="00A22BBD"/>
    <w:rsid w:val="00A3626F"/>
    <w:rsid w:val="00A4282B"/>
    <w:rsid w:val="00A51B6C"/>
    <w:rsid w:val="00A534B9"/>
    <w:rsid w:val="00A7684A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66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43E47"/>
    <w:rsid w:val="00C72847"/>
    <w:rsid w:val="00C86DA9"/>
    <w:rsid w:val="00C91715"/>
    <w:rsid w:val="00C93BF9"/>
    <w:rsid w:val="00C94E78"/>
    <w:rsid w:val="00C955B9"/>
    <w:rsid w:val="00C96549"/>
    <w:rsid w:val="00CC28BC"/>
    <w:rsid w:val="00CD04F3"/>
    <w:rsid w:val="00CD23AF"/>
    <w:rsid w:val="00CE09D3"/>
    <w:rsid w:val="00CE12E8"/>
    <w:rsid w:val="00CE42D1"/>
    <w:rsid w:val="00CF70D6"/>
    <w:rsid w:val="00D15412"/>
    <w:rsid w:val="00D249B3"/>
    <w:rsid w:val="00D26E30"/>
    <w:rsid w:val="00D30F69"/>
    <w:rsid w:val="00D54A23"/>
    <w:rsid w:val="00D54DBC"/>
    <w:rsid w:val="00D55A30"/>
    <w:rsid w:val="00D56D60"/>
    <w:rsid w:val="00D755F4"/>
    <w:rsid w:val="00D821F6"/>
    <w:rsid w:val="00DB2CA9"/>
    <w:rsid w:val="00DB375D"/>
    <w:rsid w:val="00DC75A8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55E5D"/>
    <w:rsid w:val="00E90835"/>
    <w:rsid w:val="00EA6130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1441</Words>
  <Characters>8056</Characters>
  <Application>Microsoft Office Word</Application>
  <DocSecurity>0</DocSecurity>
  <Lines>118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2024-02-21T14:30:00Z</dcterms:created>
  <dcterms:modified xsi:type="dcterms:W3CDTF">2024-03-01T08:30:00Z</dcterms:modified>
</cp:coreProperties>
</file>