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95BA" w14:textId="5CDD3EFE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1.</w:t>
      </w:r>
      <w:r w:rsidRPr="00891B8B">
        <w:rPr>
          <w:rFonts w:ascii="Helvetica" w:hAnsi="Helvetica" w:cs="Helvetica"/>
          <w:sz w:val="20"/>
          <w:lang w:val="lt-LT"/>
        </w:rPr>
        <w:t xml:space="preserve"> Preparatas, kurį sudaro vandeninis nešiklis, kurio pH yra nuo 5,5 iki 8,0, ir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kurį sudaro vienas ar daugiau atskirų kintamų domenų, kurių koncentracija yra nuo 1 mg/ml iki 200 mg/ml, minėtas preparatas yra suformuluotas žmonėms vartoti ir taip pat apima buferinį tirpalą, kurio koncentracija yra nuo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iki 100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parinktą iš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pH 6,0–6,5,</w:t>
      </w:r>
    </w:p>
    <w:p w14:paraId="6609ACED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kur minėto preparato neorganinės druskos koncentracija yra 150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ar mažesnė ir</w:t>
      </w:r>
    </w:p>
    <w:p w14:paraId="1C3BEE52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apima bent vieną kintamą domeną, nukreiptą prieš žmogaus serumo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albuminą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(HSA),</w:t>
      </w:r>
    </w:p>
    <w:p w14:paraId="42327AAF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>su sąlyga, kad preparatas nėra</w:t>
      </w:r>
    </w:p>
    <w:p w14:paraId="25995C93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kurios sudėtyje yra ATN-103, kurio koncentracija yra 50 mg/ml,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 (svorio/tūrio), 0,01%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pH 6,0;</w:t>
      </w:r>
    </w:p>
    <w:p w14:paraId="07813472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gaunamas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liofilizuojant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preparatą ATN-103 80, kurio koncentracija yra 50 mg/ml,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 (svorio/tūrio),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pH 6,0 ir atskiedus steriliame vandenyje (USP) pagaminant preparatą ATN-103, kurio koncentracija yra 100 mg/ml, 20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10 % sacharozės, 0,02 %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pH 6,0;</w:t>
      </w:r>
    </w:p>
    <w:p w14:paraId="02C5A002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 ATN-103, kurio koncentracija yra maždaug 80 mg/ml,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pH 6,0;</w:t>
      </w:r>
    </w:p>
    <w:p w14:paraId="72980EBE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88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80, 55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NaCl, pH 6,1;</w:t>
      </w:r>
    </w:p>
    <w:p w14:paraId="4E7A7AB2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89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80, 55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arginino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HCl</w:t>
      </w:r>
      <w:proofErr w:type="spellEnd"/>
      <w:r w:rsidRPr="00891B8B">
        <w:rPr>
          <w:rFonts w:ascii="Helvetica" w:hAnsi="Helvetica" w:cs="Helvetica"/>
          <w:sz w:val="20"/>
          <w:lang w:val="lt-LT"/>
        </w:rPr>
        <w:t>, pH 6,1;</w:t>
      </w:r>
    </w:p>
    <w:p w14:paraId="4BC1F02E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88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80, 100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glicino, pH 6,0;</w:t>
      </w:r>
    </w:p>
    <w:p w14:paraId="6A27F5AA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99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80, 100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metionino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>, pH 6,0;</w:t>
      </w:r>
    </w:p>
    <w:p w14:paraId="1A087C9C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88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8 %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pH 6,0;</w:t>
      </w:r>
    </w:p>
    <w:p w14:paraId="52A13E31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100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pH 6,0;</w:t>
      </w:r>
    </w:p>
    <w:p w14:paraId="0EDBCF9F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118 mg/ml ATN-103, 20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>, 5 % sacharozės, pH 6,0;</w:t>
      </w:r>
    </w:p>
    <w:p w14:paraId="21B8B6DE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maždaug 1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pH 6,0;</w:t>
      </w:r>
    </w:p>
    <w:p w14:paraId="464C2DA7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maždaug 1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pH 6,5;</w:t>
      </w:r>
    </w:p>
    <w:p w14:paraId="738032B0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maždaug 1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80, 150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arginino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HCl</w:t>
      </w:r>
      <w:proofErr w:type="spellEnd"/>
      <w:r w:rsidRPr="00891B8B">
        <w:rPr>
          <w:rFonts w:ascii="Helvetica" w:hAnsi="Helvetica" w:cs="Helvetica"/>
          <w:sz w:val="20"/>
          <w:lang w:val="lt-LT"/>
        </w:rPr>
        <w:t>, pH 6,0;</w:t>
      </w:r>
    </w:p>
    <w:p w14:paraId="18256DAB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maždaug 1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80, 150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arginino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HCl</w:t>
      </w:r>
      <w:proofErr w:type="spellEnd"/>
      <w:r w:rsidRPr="00891B8B">
        <w:rPr>
          <w:rFonts w:ascii="Helvetica" w:hAnsi="Helvetica" w:cs="Helvetica"/>
          <w:sz w:val="20"/>
          <w:lang w:val="lt-LT"/>
        </w:rPr>
        <w:t>, pH 6,5;</w:t>
      </w:r>
    </w:p>
    <w:p w14:paraId="6EED09F7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maždaug 1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80, 75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natrio chlorido; pH 6,0;</w:t>
      </w:r>
    </w:p>
    <w:p w14:paraId="16A44890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maždaug 1 mg/ml ATN-103,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80, 75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natrio chlorido; pH 6,5;</w:t>
      </w:r>
    </w:p>
    <w:p w14:paraId="37806B4B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100 mg/ml ATN-103, 20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8 %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80;</w:t>
      </w:r>
    </w:p>
    <w:p w14:paraId="54A0F1D0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100 mg/ml ATN-103, 20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80, 80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glicino;</w:t>
      </w:r>
    </w:p>
    <w:p w14:paraId="3D69A309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lastRenderedPageBreak/>
        <w:t xml:space="preserve">- preparatas, kurio sudėtyje yra 100 mg/ml ATN-103, 20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sacharozės, 0,01 %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80, 80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glicino,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metionino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>;</w:t>
      </w:r>
    </w:p>
    <w:p w14:paraId="18A06E62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100 mg/ml ATN-103, 20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5 %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sorbitolio</w:t>
      </w:r>
      <w:proofErr w:type="spellEnd"/>
      <w:r w:rsidRPr="00891B8B">
        <w:rPr>
          <w:rFonts w:ascii="Helvetica" w:hAnsi="Helvetica" w:cs="Helvetica"/>
          <w:sz w:val="20"/>
          <w:lang w:val="lt-LT"/>
        </w:rPr>
        <w:t>;</w:t>
      </w:r>
    </w:p>
    <w:p w14:paraId="5DB75E78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preparatas, kurio sudėtyje yra 100 mg/ml ATN-103, 20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>, 5 % sacharozės;</w:t>
      </w:r>
    </w:p>
    <w:p w14:paraId="5EB01CA0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>kur ATN-103 yra:</w:t>
      </w:r>
    </w:p>
    <w:p w14:paraId="254709B5" w14:textId="77777777" w:rsidR="00403F0A" w:rsidRPr="00891B8B" w:rsidRDefault="00497B83" w:rsidP="00891B8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sz w:val="20"/>
          <w:lang w:val="lt-LT"/>
        </w:rPr>
        <w:pict w14:anchorId="2D071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85pt;height:105pt;visibility:visible;mso-wrap-style:square">
            <v:imagedata r:id="rId6" o:title=""/>
          </v:shape>
        </w:pict>
      </w:r>
    </w:p>
    <w:p w14:paraId="314C2797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197A698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2.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1 punktą, kuriame nėra neorganinės druskos.</w:t>
      </w:r>
    </w:p>
    <w:p w14:paraId="41DEEDC9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0550652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3.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1 arba 2 punktą, kur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koncentracija yra nuo 5 iki 100 mg/ml, pageidautina, nuo 5 iki 50 mg/ml, pvz., 5 mg/ml, 10 mg/ml, 20 mg/ml, 30 mg/ml, 40 mg/ml, 50 mg/ml, 60 mg/ml, 70 mg/ml, 80 mg/ml, 90 mg/ml, 100 mg/ml ar daugiau.</w:t>
      </w:r>
    </w:p>
    <w:p w14:paraId="78E04A82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F974B72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4.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bet kurį iš 1–3 punktų, kur vieno kintamojo domenas, nukreiptas prieš žmogaus serumo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albuminą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(HSA), apima EVQLVESGGGLVQPGNSLRLSCAASGFTFSSFGMSWVRQAP GKGLEWVSSISGSGSDTLYADSVKGRFTISRDNAKTTLYLQMNSLRPEDTAVYYCTIGGSLSRSSQGTLVTVSS.</w:t>
      </w:r>
    </w:p>
    <w:p w14:paraId="7A3635BE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B8B85B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5.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bet kurį iš 1–4 punktų, kur</w:t>
      </w:r>
    </w:p>
    <w:p w14:paraId="25853821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tirpumas yra ne mažiau kaip 20 mg/ml, pageidautina, 50 mg/ml ar daugiau, dar labiau pageidautina, 90 mg/ml ar daugiau, arba 120 mg/ml ar daugiau, labiausiai pageidautina, 150 mg/ml ar daugiau, arba net 200 mg/ml ar daugiau, kaip nustatyta PEG pašalinimo metodu arba koncentracijos eksperimentu;</w:t>
      </w:r>
    </w:p>
    <w:p w14:paraId="02C6FEE4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lydymosi temperatūra yra ne žemesnė kaip 59 °C ar aukštesnė, pageidautina, ne žemesnė kaip 60 °C ar aukštesnė, labiau pageidautina, ne žemesnė kaip 61 °C ar ne žemesnė kaip 62 °C ar aukštesnė, labiausiai pageidautina, ne žemesnė kaip 63 °C ar aukštesnė, matuojant terminio poslinkio metodu (TSA) ir (arba) diferencine skenavimo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kalorimetrija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(DSC);</w:t>
      </w:r>
    </w:p>
    <w:p w14:paraId="272D2D72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>- nėra kietųjų dalelių, nustatomų atliekant OD320/OD280 ir (arba) elastingos šviesos sklaidą;</w:t>
      </w:r>
    </w:p>
    <w:p w14:paraId="0B35463C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mažiau kaip 10 %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sudaro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piroglutamatą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N-galinėje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glutamo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rūgšties dalyje, laikant ne aukštesnėje kaip 37 ± 5 °C temperatūroje ne trumpiau kaip 2 savaites (pageidautina, ne trumpiau kaip 3 savaites, ne trumpiau kaip 5 savaites, ne trumpiau kaip 8 savaites, ne trumpiau kaip 10 savaičių, ne trumpiau kaip 3 mėnesius, ne trumpiau kaip 6 mėnesius, ne trumpiau kaip 1 metus, 1,5 metų ar net 2 metus ar ilgiau), procentinė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piroglutamato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dalis matuojant pagal RP-HPLC;</w:t>
      </w:r>
    </w:p>
    <w:p w14:paraId="15D431C8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mažiau kaip 10 %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sudaro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dimerus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laikant 37 ± 5 °C temperatūroje ne trumpiau kaip 2 savaites (pageidautina, ne trumpiau kaip 3 savaites, ne trumpiau kaip 5 savaites, ne trumpiau kaip 8 savaites, ne trumpiau kaip 10 savaičių, ne trumpiau kaip 3 mėnesius, ne trumpiau kaip 6 mėnesius, ne trumpiau kaip 1 metus, 1,5 metų ar net 2 metus ar ilgiau), procentinė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dimerų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dalis matuojant pagal SE-HPLC;</w:t>
      </w:r>
    </w:p>
    <w:p w14:paraId="08869229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lastRenderedPageBreak/>
        <w:t xml:space="preserve">- mažiausiai 80 %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polipeptidų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išlaiko prisijungimo veiklą pagal bent vieną iš jų tikslų, laikant juos 37 ± 5 °C temperatūroje ne trumpiau kaip 2 savaites (pageidautina, ne trumpiau kaip 3 savaites, ne trumpiau kaip 5 savaites, ne trumpiau kaip 2 mėnesius, ne trumpiau kaip 6 mėnesius, ne trumpiau kaip 1 metus, 1,5 metų ar net 2 metus ar ilgiau), palyginti su prisijungimo veikla prieš sandėliavimą, minėta prisijungimo veikla išmatuota pagal ELISA ir (arba) „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Biacore</w:t>
      </w:r>
      <w:proofErr w:type="spellEnd"/>
      <w:r w:rsidRPr="00891B8B">
        <w:rPr>
          <w:rFonts w:ascii="Helvetica" w:hAnsi="Helvetica" w:cs="Helvetica"/>
          <w:sz w:val="20"/>
          <w:lang w:val="lt-LT"/>
        </w:rPr>
        <w:t>“; ir (arba)</w:t>
      </w:r>
    </w:p>
    <w:p w14:paraId="2DA1F3D4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-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yra stabilus mechaninio streso metu.</w:t>
      </w:r>
    </w:p>
    <w:p w14:paraId="3913EA0D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06CCFD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6.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bet kurį iš 1–5 punktų, kur buferinis tirpalas yra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pH 6,5 arba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pH 6,0 buferinis tirpalas.</w:t>
      </w:r>
    </w:p>
    <w:p w14:paraId="3BF2DEB3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F565C3B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7.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6 punktą, kur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buferinio tirpalo koncentracija yra nuo 10 iki 50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pageidautina, nuo 10 iki 20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pavyzdžiui, maždaug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arba 15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>.</w:t>
      </w:r>
    </w:p>
    <w:p w14:paraId="5F1D3027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CD3795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8.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bet kurį iš 1–7 punktų, kur pagalbinė medžiaga yra parinkta iš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manitolio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trehalozės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sorbitolio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sukralozės</w:t>
      </w:r>
      <w:proofErr w:type="spellEnd"/>
      <w:r w:rsidRPr="00891B8B">
        <w:rPr>
          <w:rFonts w:ascii="Helvetica" w:hAnsi="Helvetica" w:cs="Helvetica"/>
          <w:sz w:val="20"/>
          <w:lang w:val="lt-LT"/>
        </w:rPr>
        <w:t>.</w:t>
      </w:r>
    </w:p>
    <w:p w14:paraId="44DA5327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6B4DB1C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9.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8 punktą, kur pagalbinės medžiagos koncentracija yra nuo 2,5 % iki 15 %, pageidautina, nuo 5 % iki 10 %, pavyzdžiui, maždaug 5 %, 7,5 %, 8 % ir 10 %.</w:t>
      </w:r>
    </w:p>
    <w:p w14:paraId="63466FC7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03AFE63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10.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bet kurį iš 1–9 punktų, papildomai apimantis paviršinio aktyvumo medžiagą, kurios koncentracija yra nuo 0,001 % iki 1 %, parinktą iš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20,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 arba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poloksamero</w:t>
      </w:r>
      <w:proofErr w:type="spellEnd"/>
      <w:r w:rsidRPr="00891B8B">
        <w:rPr>
          <w:rFonts w:ascii="Helvetica" w:hAnsi="Helvetica" w:cs="Helvetica"/>
          <w:sz w:val="20"/>
          <w:lang w:val="lt-LT"/>
        </w:rPr>
        <w:t>.</w:t>
      </w:r>
    </w:p>
    <w:p w14:paraId="123DCE52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820D5A9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11.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10 punktą, kur paviršinio aktyvumo medžiagos koncentracija yra nuo 0,01 % iki 0,1 %, pageidautina, nuo 0,01 % iki 0,05 %, pavyzdžiui, maždaug 0,01 % arba 0,005 %.</w:t>
      </w:r>
    </w:p>
    <w:p w14:paraId="4EB1A53C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01CDDC5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12.</w:t>
      </w:r>
      <w:r w:rsidRPr="00891B8B">
        <w:rPr>
          <w:rFonts w:ascii="Helvetica" w:hAnsi="Helvetica" w:cs="Helvetica"/>
          <w:sz w:val="20"/>
          <w:lang w:val="lt-LT"/>
        </w:rPr>
        <w:t xml:space="preserve"> Preparatas pagal bet kurį iš 1–11 punktų, apimantis:</w:t>
      </w:r>
    </w:p>
    <w:p w14:paraId="3E74826B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a)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histidino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pH 6,5 arba pH 6,0 buferinį tirpalą, kurio koncentracija yra nuo 10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iki 100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mM</w:t>
      </w:r>
      <w:proofErr w:type="spellEnd"/>
      <w:r w:rsidRPr="00891B8B">
        <w:rPr>
          <w:rFonts w:ascii="Helvetica" w:hAnsi="Helvetica" w:cs="Helvetica"/>
          <w:sz w:val="20"/>
          <w:lang w:val="lt-LT"/>
        </w:rPr>
        <w:t>;</w:t>
      </w:r>
    </w:p>
    <w:p w14:paraId="16BC1106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>b) sacharozę, kurios koncentracija yra nuo 1 % iki 20 %; ir</w:t>
      </w:r>
    </w:p>
    <w:p w14:paraId="47E5D7F7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sz w:val="20"/>
          <w:lang w:val="lt-LT"/>
        </w:rPr>
        <w:t xml:space="preserve">c)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polisorbatą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80, kurio koncentracija yra nuo 0,001 % iki 1 %.</w:t>
      </w:r>
    </w:p>
    <w:p w14:paraId="579AEED4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DC91B85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13.</w:t>
      </w:r>
      <w:r w:rsidRPr="00891B8B">
        <w:rPr>
          <w:rFonts w:ascii="Helvetica" w:hAnsi="Helvetica" w:cs="Helvetica"/>
          <w:sz w:val="20"/>
          <w:lang w:val="lt-LT"/>
        </w:rPr>
        <w:t xml:space="preserve"> Preparato pagal bet kurio iš 1–12 punktų paruošimo metodas, apimantis bent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polipeptido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koncentravimo ir keitimosi juo su pasirinktu buferiniu tirpalu ir (arba) pagalbine medžiaga etapą.</w:t>
      </w:r>
    </w:p>
    <w:p w14:paraId="5731BBB8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FB6C2B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14.</w:t>
      </w:r>
      <w:r w:rsidRPr="00891B8B">
        <w:rPr>
          <w:rFonts w:ascii="Helvetica" w:hAnsi="Helvetica" w:cs="Helvetica"/>
          <w:sz w:val="20"/>
          <w:lang w:val="lt-LT"/>
        </w:rPr>
        <w:t xml:space="preserve"> Sandari talpykla, kurioje yra preparatas pagal bet kurį iš 1–12 punktų.</w:t>
      </w:r>
    </w:p>
    <w:p w14:paraId="2D717DCC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F3BC38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15.</w:t>
      </w:r>
      <w:r w:rsidRPr="00891B8B">
        <w:rPr>
          <w:rFonts w:ascii="Helvetica" w:hAnsi="Helvetica" w:cs="Helvetica"/>
          <w:sz w:val="20"/>
          <w:lang w:val="lt-LT"/>
        </w:rPr>
        <w:t xml:space="preserve"> Farmacinio vieneto dozavimo forma, tinkama </w:t>
      </w:r>
      <w:proofErr w:type="spellStart"/>
      <w:r w:rsidRPr="00891B8B">
        <w:rPr>
          <w:rFonts w:ascii="Helvetica" w:hAnsi="Helvetica" w:cs="Helvetica"/>
          <w:sz w:val="20"/>
          <w:lang w:val="lt-LT"/>
        </w:rPr>
        <w:t>parenteriniam</w:t>
      </w:r>
      <w:proofErr w:type="spellEnd"/>
      <w:r w:rsidRPr="00891B8B">
        <w:rPr>
          <w:rFonts w:ascii="Helvetica" w:hAnsi="Helvetica" w:cs="Helvetica"/>
          <w:sz w:val="20"/>
          <w:lang w:val="lt-LT"/>
        </w:rPr>
        <w:t xml:space="preserve"> vartojimui žmogui, kurią sudaro preparatas pagal bet kurį iš 1–12 punktų, tinkamoje talpykloje.</w:t>
      </w:r>
    </w:p>
    <w:p w14:paraId="2288AAA1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06A6BF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16.</w:t>
      </w:r>
      <w:r w:rsidRPr="00891B8B">
        <w:rPr>
          <w:rFonts w:ascii="Helvetica" w:hAnsi="Helvetica" w:cs="Helvetica"/>
          <w:sz w:val="20"/>
          <w:lang w:val="lt-LT"/>
        </w:rPr>
        <w:t xml:space="preserve"> Rinkinys, kurį sudaro viena ar daugiau sandarių talpyklų pagal 14 punktą ir (arba) farmacinio vieneto dozavimo formos pagal 15 punktą ir preparato vartojimo instrukcija.</w:t>
      </w:r>
    </w:p>
    <w:p w14:paraId="4A37D96F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9D4E77" w14:textId="77777777" w:rsidR="00403F0A" w:rsidRPr="00891B8B" w:rsidRDefault="00403F0A" w:rsidP="00891B8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91B8B">
        <w:rPr>
          <w:rFonts w:ascii="Helvetica" w:hAnsi="Helvetica" w:cs="Helvetica"/>
          <w:bCs/>
          <w:sz w:val="20"/>
          <w:lang w:val="lt-LT"/>
        </w:rPr>
        <w:t>17.</w:t>
      </w:r>
      <w:r w:rsidRPr="00891B8B">
        <w:rPr>
          <w:rFonts w:ascii="Helvetica" w:hAnsi="Helvetica" w:cs="Helvetica"/>
          <w:sz w:val="20"/>
          <w:lang w:val="lt-LT"/>
        </w:rPr>
        <w:t xml:space="preserve"> Preparatas, talpykla, farmacinio vieneto dozė arba rinkinys pagal bet kurį iš ankstesnių punktų, skirti naudoti gydymui.</w:t>
      </w:r>
    </w:p>
    <w:p w14:paraId="3CD80E96" w14:textId="77777777" w:rsidR="00403F0A" w:rsidRPr="00891B8B" w:rsidRDefault="00403F0A" w:rsidP="00891B8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03F0A" w:rsidRPr="00891B8B" w:rsidSect="00891B8B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50A8" w14:textId="77777777" w:rsidR="00633566" w:rsidRDefault="00633566" w:rsidP="007B0A41">
      <w:pPr>
        <w:spacing w:after="0" w:line="240" w:lineRule="auto"/>
      </w:pPr>
      <w:r>
        <w:separator/>
      </w:r>
    </w:p>
  </w:endnote>
  <w:endnote w:type="continuationSeparator" w:id="0">
    <w:p w14:paraId="4DCB39B4" w14:textId="77777777" w:rsidR="00633566" w:rsidRDefault="0063356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BEAB" w14:textId="77777777" w:rsidR="00633566" w:rsidRDefault="00633566" w:rsidP="007B0A41">
      <w:pPr>
        <w:spacing w:after="0" w:line="240" w:lineRule="auto"/>
      </w:pPr>
      <w:r>
        <w:separator/>
      </w:r>
    </w:p>
  </w:footnote>
  <w:footnote w:type="continuationSeparator" w:id="0">
    <w:p w14:paraId="441978E5" w14:textId="77777777" w:rsidR="00633566" w:rsidRDefault="0063356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950"/>
    <w:rsid w:val="00053D3E"/>
    <w:rsid w:val="00062A8E"/>
    <w:rsid w:val="00064637"/>
    <w:rsid w:val="00065F0D"/>
    <w:rsid w:val="00070D8A"/>
    <w:rsid w:val="000909BE"/>
    <w:rsid w:val="00092D0B"/>
    <w:rsid w:val="000B01FB"/>
    <w:rsid w:val="000B4740"/>
    <w:rsid w:val="000C638E"/>
    <w:rsid w:val="000C68F9"/>
    <w:rsid w:val="000D0403"/>
    <w:rsid w:val="000D5845"/>
    <w:rsid w:val="000E6C31"/>
    <w:rsid w:val="000E79C4"/>
    <w:rsid w:val="000F1D6A"/>
    <w:rsid w:val="0010435A"/>
    <w:rsid w:val="0011001D"/>
    <w:rsid w:val="00120AC9"/>
    <w:rsid w:val="001308ED"/>
    <w:rsid w:val="0013504A"/>
    <w:rsid w:val="001427C4"/>
    <w:rsid w:val="001457D1"/>
    <w:rsid w:val="00147243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46C0"/>
    <w:rsid w:val="001F266E"/>
    <w:rsid w:val="00201BD9"/>
    <w:rsid w:val="00211C3F"/>
    <w:rsid w:val="00212A3B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93"/>
    <w:rsid w:val="00287792"/>
    <w:rsid w:val="00296B28"/>
    <w:rsid w:val="002B66D9"/>
    <w:rsid w:val="002D3622"/>
    <w:rsid w:val="002E0F37"/>
    <w:rsid w:val="002E7EBE"/>
    <w:rsid w:val="002F14F9"/>
    <w:rsid w:val="003039EC"/>
    <w:rsid w:val="003043DE"/>
    <w:rsid w:val="00316FB7"/>
    <w:rsid w:val="00321682"/>
    <w:rsid w:val="00334817"/>
    <w:rsid w:val="00362411"/>
    <w:rsid w:val="003636D8"/>
    <w:rsid w:val="003700E9"/>
    <w:rsid w:val="00370A78"/>
    <w:rsid w:val="00372A7E"/>
    <w:rsid w:val="0037691E"/>
    <w:rsid w:val="003A0D71"/>
    <w:rsid w:val="003A2C71"/>
    <w:rsid w:val="003A7D4E"/>
    <w:rsid w:val="003B1332"/>
    <w:rsid w:val="003B3FF4"/>
    <w:rsid w:val="003C041F"/>
    <w:rsid w:val="003D4001"/>
    <w:rsid w:val="003E51FF"/>
    <w:rsid w:val="003E6EF1"/>
    <w:rsid w:val="003F2F75"/>
    <w:rsid w:val="003F49EF"/>
    <w:rsid w:val="003F7401"/>
    <w:rsid w:val="00403F0A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54F3D"/>
    <w:rsid w:val="004608B1"/>
    <w:rsid w:val="00473E17"/>
    <w:rsid w:val="004922D2"/>
    <w:rsid w:val="00497B83"/>
    <w:rsid w:val="004A11D8"/>
    <w:rsid w:val="004B61D3"/>
    <w:rsid w:val="004C1469"/>
    <w:rsid w:val="004D6435"/>
    <w:rsid w:val="004D762C"/>
    <w:rsid w:val="004E0125"/>
    <w:rsid w:val="004E0854"/>
    <w:rsid w:val="004E1DC0"/>
    <w:rsid w:val="004F06A1"/>
    <w:rsid w:val="004F166C"/>
    <w:rsid w:val="00500B25"/>
    <w:rsid w:val="0051305E"/>
    <w:rsid w:val="005162F0"/>
    <w:rsid w:val="00524181"/>
    <w:rsid w:val="00526B8F"/>
    <w:rsid w:val="00530605"/>
    <w:rsid w:val="0053198F"/>
    <w:rsid w:val="005324BA"/>
    <w:rsid w:val="0053389E"/>
    <w:rsid w:val="00537BF5"/>
    <w:rsid w:val="005557D6"/>
    <w:rsid w:val="00556FA2"/>
    <w:rsid w:val="00560B7D"/>
    <w:rsid w:val="00564911"/>
    <w:rsid w:val="00564B58"/>
    <w:rsid w:val="0059478E"/>
    <w:rsid w:val="0059618A"/>
    <w:rsid w:val="00596912"/>
    <w:rsid w:val="005A39DE"/>
    <w:rsid w:val="005A6B20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600FCD"/>
    <w:rsid w:val="006031C5"/>
    <w:rsid w:val="006049CC"/>
    <w:rsid w:val="006070BD"/>
    <w:rsid w:val="00610108"/>
    <w:rsid w:val="00617E21"/>
    <w:rsid w:val="0063322A"/>
    <w:rsid w:val="00633566"/>
    <w:rsid w:val="006375BB"/>
    <w:rsid w:val="006739B7"/>
    <w:rsid w:val="006756CD"/>
    <w:rsid w:val="00675FB8"/>
    <w:rsid w:val="00683CBB"/>
    <w:rsid w:val="00683EAE"/>
    <w:rsid w:val="00690322"/>
    <w:rsid w:val="0069131F"/>
    <w:rsid w:val="006A369A"/>
    <w:rsid w:val="006A5176"/>
    <w:rsid w:val="006A7CC6"/>
    <w:rsid w:val="006B0219"/>
    <w:rsid w:val="006B1F43"/>
    <w:rsid w:val="006B5A25"/>
    <w:rsid w:val="006C2F85"/>
    <w:rsid w:val="006C3CD4"/>
    <w:rsid w:val="006C3F5D"/>
    <w:rsid w:val="006C5EA4"/>
    <w:rsid w:val="006C673E"/>
    <w:rsid w:val="006D08E0"/>
    <w:rsid w:val="006D15AB"/>
    <w:rsid w:val="006D6063"/>
    <w:rsid w:val="006D6693"/>
    <w:rsid w:val="006D7016"/>
    <w:rsid w:val="006D7D10"/>
    <w:rsid w:val="006F1620"/>
    <w:rsid w:val="006F52F9"/>
    <w:rsid w:val="0072409B"/>
    <w:rsid w:val="00727CC1"/>
    <w:rsid w:val="007368A3"/>
    <w:rsid w:val="00745910"/>
    <w:rsid w:val="00755AA1"/>
    <w:rsid w:val="007600DE"/>
    <w:rsid w:val="007752B9"/>
    <w:rsid w:val="007760A8"/>
    <w:rsid w:val="00790202"/>
    <w:rsid w:val="00795D58"/>
    <w:rsid w:val="007A3CB1"/>
    <w:rsid w:val="007A4B6F"/>
    <w:rsid w:val="007B0A41"/>
    <w:rsid w:val="007B11E6"/>
    <w:rsid w:val="007B69C6"/>
    <w:rsid w:val="007C0A0D"/>
    <w:rsid w:val="007C4E0E"/>
    <w:rsid w:val="007C60FE"/>
    <w:rsid w:val="007C71DA"/>
    <w:rsid w:val="007E2261"/>
    <w:rsid w:val="007E4111"/>
    <w:rsid w:val="007F36E5"/>
    <w:rsid w:val="007F4AE3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91B8B"/>
    <w:rsid w:val="008A7B6E"/>
    <w:rsid w:val="008B290D"/>
    <w:rsid w:val="008B41AC"/>
    <w:rsid w:val="008C60D6"/>
    <w:rsid w:val="008D16F5"/>
    <w:rsid w:val="008E0506"/>
    <w:rsid w:val="008E0E9E"/>
    <w:rsid w:val="008F1B01"/>
    <w:rsid w:val="00901616"/>
    <w:rsid w:val="00902365"/>
    <w:rsid w:val="00903A5C"/>
    <w:rsid w:val="0090596D"/>
    <w:rsid w:val="00906760"/>
    <w:rsid w:val="00907FD8"/>
    <w:rsid w:val="0091598F"/>
    <w:rsid w:val="009172BC"/>
    <w:rsid w:val="00922F65"/>
    <w:rsid w:val="00932902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5FDA"/>
    <w:rsid w:val="00987131"/>
    <w:rsid w:val="00992879"/>
    <w:rsid w:val="00995998"/>
    <w:rsid w:val="009B138F"/>
    <w:rsid w:val="009B2E35"/>
    <w:rsid w:val="009B4859"/>
    <w:rsid w:val="009B6C12"/>
    <w:rsid w:val="009C0650"/>
    <w:rsid w:val="009C3C36"/>
    <w:rsid w:val="009C3D7E"/>
    <w:rsid w:val="009E1482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814FD"/>
    <w:rsid w:val="00AA3A1F"/>
    <w:rsid w:val="00AB5665"/>
    <w:rsid w:val="00AD4691"/>
    <w:rsid w:val="00AE0CE1"/>
    <w:rsid w:val="00AE2E8A"/>
    <w:rsid w:val="00AE4C3F"/>
    <w:rsid w:val="00AE51EA"/>
    <w:rsid w:val="00AE7DF3"/>
    <w:rsid w:val="00AF10BE"/>
    <w:rsid w:val="00AF3096"/>
    <w:rsid w:val="00AF7E15"/>
    <w:rsid w:val="00B065EE"/>
    <w:rsid w:val="00B200E3"/>
    <w:rsid w:val="00B226B6"/>
    <w:rsid w:val="00B264AD"/>
    <w:rsid w:val="00B32101"/>
    <w:rsid w:val="00B33DE4"/>
    <w:rsid w:val="00B42D31"/>
    <w:rsid w:val="00B47D94"/>
    <w:rsid w:val="00B50D53"/>
    <w:rsid w:val="00B63380"/>
    <w:rsid w:val="00B6516C"/>
    <w:rsid w:val="00B70727"/>
    <w:rsid w:val="00B81287"/>
    <w:rsid w:val="00B83A1C"/>
    <w:rsid w:val="00B86C5A"/>
    <w:rsid w:val="00B91FBC"/>
    <w:rsid w:val="00B941E6"/>
    <w:rsid w:val="00B95DE1"/>
    <w:rsid w:val="00BA4D87"/>
    <w:rsid w:val="00BB041F"/>
    <w:rsid w:val="00BB74CC"/>
    <w:rsid w:val="00BC4201"/>
    <w:rsid w:val="00BD054A"/>
    <w:rsid w:val="00BD2789"/>
    <w:rsid w:val="00BD5417"/>
    <w:rsid w:val="00BE41C2"/>
    <w:rsid w:val="00BE655C"/>
    <w:rsid w:val="00C1001A"/>
    <w:rsid w:val="00C13EC7"/>
    <w:rsid w:val="00C220FE"/>
    <w:rsid w:val="00C22818"/>
    <w:rsid w:val="00C2766E"/>
    <w:rsid w:val="00C30968"/>
    <w:rsid w:val="00C51C39"/>
    <w:rsid w:val="00C53F20"/>
    <w:rsid w:val="00C54DF6"/>
    <w:rsid w:val="00C636DD"/>
    <w:rsid w:val="00C72847"/>
    <w:rsid w:val="00C73E71"/>
    <w:rsid w:val="00C80F17"/>
    <w:rsid w:val="00C86DA9"/>
    <w:rsid w:val="00C91715"/>
    <w:rsid w:val="00C91935"/>
    <w:rsid w:val="00CA4030"/>
    <w:rsid w:val="00CA5FE4"/>
    <w:rsid w:val="00CA7747"/>
    <w:rsid w:val="00CB40EC"/>
    <w:rsid w:val="00CC7FBB"/>
    <w:rsid w:val="00CD2006"/>
    <w:rsid w:val="00CE28B9"/>
    <w:rsid w:val="00CE42D1"/>
    <w:rsid w:val="00CF3C44"/>
    <w:rsid w:val="00CF70D6"/>
    <w:rsid w:val="00D000F1"/>
    <w:rsid w:val="00D03D15"/>
    <w:rsid w:val="00D10809"/>
    <w:rsid w:val="00D147F2"/>
    <w:rsid w:val="00D15412"/>
    <w:rsid w:val="00D16824"/>
    <w:rsid w:val="00D23A2A"/>
    <w:rsid w:val="00D30F69"/>
    <w:rsid w:val="00D42619"/>
    <w:rsid w:val="00D54A23"/>
    <w:rsid w:val="00D55A30"/>
    <w:rsid w:val="00D56D60"/>
    <w:rsid w:val="00D6704A"/>
    <w:rsid w:val="00D67EB7"/>
    <w:rsid w:val="00D83DAA"/>
    <w:rsid w:val="00D8408E"/>
    <w:rsid w:val="00D92155"/>
    <w:rsid w:val="00D9312E"/>
    <w:rsid w:val="00DA4CB2"/>
    <w:rsid w:val="00DB18D7"/>
    <w:rsid w:val="00DB1C61"/>
    <w:rsid w:val="00DB375D"/>
    <w:rsid w:val="00DC2566"/>
    <w:rsid w:val="00DC41EB"/>
    <w:rsid w:val="00DD1AA0"/>
    <w:rsid w:val="00DF2655"/>
    <w:rsid w:val="00E02538"/>
    <w:rsid w:val="00E03A34"/>
    <w:rsid w:val="00E1104B"/>
    <w:rsid w:val="00E14D21"/>
    <w:rsid w:val="00E1543E"/>
    <w:rsid w:val="00E1780E"/>
    <w:rsid w:val="00E2583B"/>
    <w:rsid w:val="00E27C4C"/>
    <w:rsid w:val="00E321B7"/>
    <w:rsid w:val="00E33FCB"/>
    <w:rsid w:val="00E36373"/>
    <w:rsid w:val="00E551C5"/>
    <w:rsid w:val="00E75587"/>
    <w:rsid w:val="00E91AE0"/>
    <w:rsid w:val="00E9270C"/>
    <w:rsid w:val="00EA06E3"/>
    <w:rsid w:val="00EB1EE5"/>
    <w:rsid w:val="00EB6F08"/>
    <w:rsid w:val="00EC2BD7"/>
    <w:rsid w:val="00ED04B0"/>
    <w:rsid w:val="00ED5D1C"/>
    <w:rsid w:val="00EE7E5C"/>
    <w:rsid w:val="00F01CE8"/>
    <w:rsid w:val="00F05859"/>
    <w:rsid w:val="00F2101A"/>
    <w:rsid w:val="00F24CF6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87A00"/>
    <w:rsid w:val="00F9456B"/>
    <w:rsid w:val="00F94F6E"/>
    <w:rsid w:val="00FA380A"/>
    <w:rsid w:val="00FB2032"/>
    <w:rsid w:val="00FB2D33"/>
    <w:rsid w:val="00FB63E2"/>
    <w:rsid w:val="00FD0914"/>
    <w:rsid w:val="00FD3E6A"/>
    <w:rsid w:val="00FD6866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qFormat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99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1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147F2"/>
    <w:pPr>
      <w:spacing w:after="0" w:line="240" w:lineRule="auto"/>
      <w:ind w:left="240" w:hanging="240"/>
    </w:pPr>
    <w:rPr>
      <w:rFonts w:ascii="Arial" w:eastAsia="Times New Roman" w:hAnsi="Arial"/>
      <w:color w:val="000000"/>
      <w:kern w:val="2"/>
      <w:sz w:val="24"/>
      <w:szCs w:val="24"/>
      <w:lang w:val="lt-LT" w:eastAsia="zh-CN" w:bidi="th-TH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7F2"/>
    <w:pPr>
      <w:spacing w:after="0" w:line="240" w:lineRule="auto"/>
    </w:pPr>
    <w:rPr>
      <w:rFonts w:ascii="Arial" w:eastAsia="Times New Roman" w:hAnsi="Arial"/>
      <w:color w:val="000000"/>
      <w:kern w:val="2"/>
      <w:sz w:val="20"/>
      <w:szCs w:val="25"/>
      <w:lang w:val="lt-LT" w:eastAsia="zh-CN" w:bidi="th-TH"/>
    </w:rPr>
  </w:style>
  <w:style w:type="character" w:customStyle="1" w:styleId="KomentarotekstasDiagrama">
    <w:name w:val="Komentaro tekstas Diagrama"/>
    <w:link w:val="Komentarotekstas"/>
    <w:uiPriority w:val="99"/>
    <w:semiHidden/>
    <w:rsid w:val="00D147F2"/>
    <w:rPr>
      <w:rFonts w:ascii="Arial" w:eastAsia="Times New Roman" w:hAnsi="Arial"/>
      <w:color w:val="000000"/>
      <w:kern w:val="2"/>
      <w:szCs w:val="25"/>
      <w:lang w:val="lt-LT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7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147F2"/>
    <w:rPr>
      <w:rFonts w:ascii="Arial" w:eastAsia="Times New Roman" w:hAnsi="Arial"/>
      <w:b/>
      <w:bCs/>
      <w:color w:val="000000"/>
      <w:kern w:val="2"/>
      <w:szCs w:val="25"/>
      <w:lang w:val="lt-LT" w:eastAsia="zh-CN" w:bidi="th-TH"/>
    </w:rPr>
  </w:style>
  <w:style w:type="paragraph" w:customStyle="1" w:styleId="ID00079Claim">
    <w:name w:val="[ID00079] Claim"/>
    <w:qFormat/>
    <w:rsid w:val="00D147F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D147F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Paragraph">
    <w:name w:val="[ID00079] Paragraph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Subtitle1">
    <w:name w:val="[ID00079] Subtitle 1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lt-LT" w:eastAsia="zh-CN"/>
    </w:rPr>
  </w:style>
  <w:style w:type="paragraph" w:customStyle="1" w:styleId="ID00079Table">
    <w:name w:val="[ID00079] Table"/>
    <w:qFormat/>
    <w:rsid w:val="00D147F2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D147F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147F2"/>
    <w:rPr>
      <w:sz w:val="16"/>
      <w:szCs w:val="16"/>
    </w:rPr>
  </w:style>
  <w:style w:type="character" w:styleId="Eilutsnumeris">
    <w:name w:val="line number"/>
    <w:uiPriority w:val="99"/>
    <w:semiHidden/>
    <w:unhideWhenUsed/>
    <w:qFormat/>
    <w:rsid w:val="00D147F2"/>
    <w:rPr>
      <w:rFonts w:ascii="Times New Roman" w:hAnsi="Times New Roman" w:cs="Times New Roman" w:hint="default"/>
      <w:color w:val="000000"/>
      <w:sz w:val="20"/>
      <w:szCs w:val="20"/>
    </w:rPr>
  </w:style>
  <w:style w:type="character" w:styleId="Puslapionumeris">
    <w:name w:val="page number"/>
    <w:uiPriority w:val="99"/>
    <w:semiHidden/>
    <w:unhideWhenUsed/>
    <w:qFormat/>
    <w:rsid w:val="00D147F2"/>
    <w:rPr>
      <w:rFonts w:ascii="Arial" w:hAnsi="Arial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102</cp:revision>
  <dcterms:created xsi:type="dcterms:W3CDTF">2025-07-11T05:50:00Z</dcterms:created>
  <dcterms:modified xsi:type="dcterms:W3CDTF">2025-11-17T12:18:00Z</dcterms:modified>
</cp:coreProperties>
</file>