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9AA" w14:textId="10DC4381" w:rsidR="00D14B03" w:rsidRPr="000A43CB" w:rsidRDefault="00D14B03" w:rsidP="000A43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B06F46"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Surišanti molekulė, kuri rišasi su žmogaus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komplemento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faktoriumi C2, skirta naudoti sunkiosios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miastenijos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, hemolizinės anemijos,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glomerulonefrito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, suaugusiųjų kvėpavimo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distreso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sindromo,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ksenotransplantacijos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, išsėtinės sklerozės, nudegimų sukeltų sužalojimų ar toksinio poveikio</w:t>
      </w:r>
      <w:r w:rsidR="00BE6F3E"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, sukelto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citokinų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arba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mAb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skyrim</w:t>
      </w:r>
      <w:r w:rsidR="00BE6F3E" w:rsidRPr="000A43CB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BE6F3E" w:rsidRPr="000A43CB">
        <w:rPr>
          <w:rFonts w:ascii="Helvetica" w:eastAsia="Times New Roman" w:hAnsi="Helvetica" w:cs="Arial"/>
          <w:i/>
          <w:iCs/>
          <w:sz w:val="20"/>
          <w:szCs w:val="24"/>
          <w:lang w:eastAsia="lt-LT"/>
        </w:rPr>
        <w:t xml:space="preserve"> </w:t>
      </w:r>
      <w:proofErr w:type="spellStart"/>
      <w:r w:rsidR="00BE6F3E" w:rsidRPr="000A43CB">
        <w:rPr>
          <w:rFonts w:ascii="Helvetica" w:eastAsia="Times New Roman" w:hAnsi="Helvetica" w:cs="Arial"/>
          <w:i/>
          <w:iCs/>
          <w:sz w:val="20"/>
          <w:szCs w:val="24"/>
          <w:lang w:eastAsia="lt-LT"/>
        </w:rPr>
        <w:t>in</w:t>
      </w:r>
      <w:proofErr w:type="spellEnd"/>
      <w:r w:rsidR="00BE6F3E" w:rsidRPr="000A43CB">
        <w:rPr>
          <w:rFonts w:ascii="Helvetica" w:eastAsia="Times New Roman" w:hAnsi="Helvetica" w:cs="Arial"/>
          <w:i/>
          <w:iCs/>
          <w:sz w:val="20"/>
          <w:szCs w:val="24"/>
          <w:lang w:eastAsia="lt-LT"/>
        </w:rPr>
        <w:t xml:space="preserve"> </w:t>
      </w:r>
      <w:proofErr w:type="spellStart"/>
      <w:r w:rsidR="00BE6F3E" w:rsidRPr="000A43CB">
        <w:rPr>
          <w:rFonts w:ascii="Helvetica" w:eastAsia="Times New Roman" w:hAnsi="Helvetica" w:cs="Arial"/>
          <w:i/>
          <w:iCs/>
          <w:sz w:val="20"/>
          <w:szCs w:val="24"/>
          <w:lang w:eastAsia="lt-LT"/>
        </w:rPr>
        <w:t>vivo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BE6F3E"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gydymui,</w:t>
      </w:r>
    </w:p>
    <w:p w14:paraId="18014933" w14:textId="10CDB223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kur </w:t>
      </w:r>
      <w:r w:rsidR="00BE6F3E" w:rsidRPr="000A43CB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rišan</w:t>
      </w:r>
      <w:r w:rsidR="00BE6F3E" w:rsidRPr="000A43CB">
        <w:rPr>
          <w:rFonts w:ascii="Helvetica" w:eastAsia="Times New Roman" w:hAnsi="Helvetica" w:cs="Arial"/>
          <w:sz w:val="20"/>
          <w:szCs w:val="24"/>
          <w:lang w:eastAsia="lt-LT"/>
        </w:rPr>
        <w:t>ti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molekulė apima imunoglobulino sunkiosios grandinės kintamą sritį ir imunoglobulino lengvosios grandinės kintamą sritį,</w:t>
      </w:r>
    </w:p>
    <w:p w14:paraId="0461E639" w14:textId="43D5A4C7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kur sunkiosios grandinės kintam</w:t>
      </w:r>
      <w:r w:rsidR="00BE6F3E" w:rsidRPr="000A43CB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sritis apima:</w:t>
      </w:r>
    </w:p>
    <w:p w14:paraId="3AC9D121" w14:textId="418343F2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(a) sunkiosios grandinės CDR1, apimanči</w:t>
      </w:r>
      <w:r w:rsidR="00BE6F3E" w:rsidRPr="000A43CB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 SEQ ID Nr. 4;</w:t>
      </w:r>
    </w:p>
    <w:p w14:paraId="6B68B035" w14:textId="2A8993AD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(b) sunkiosios grandinės CDR2, apimanči</w:t>
      </w:r>
      <w:r w:rsidR="00BE6F3E" w:rsidRPr="000A43CB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 SEQ ID Nr. 5; ir</w:t>
      </w:r>
    </w:p>
    <w:p w14:paraId="2A3CDD90" w14:textId="29899655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(c) sunkiosios grandinės CDR3, apimanči</w:t>
      </w:r>
      <w:r w:rsidR="00BE6F3E" w:rsidRPr="000A43CB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 SEQ ID Nr. 6; ir</w:t>
      </w:r>
    </w:p>
    <w:p w14:paraId="7C0C9DF9" w14:textId="77777777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kur lengvosios grandinės kintamoji sritis apima:</w:t>
      </w:r>
    </w:p>
    <w:p w14:paraId="0B15504C" w14:textId="7E1054F5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(a) lengvosios grandinės CDR1, apimanči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 SEQ ID Nr. 7;</w:t>
      </w:r>
    </w:p>
    <w:p w14:paraId="4BB62A62" w14:textId="274585B4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(b) lengvosios grandinės CDR2, apimanči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 SEQ ID Nr. 8; ir</w:t>
      </w:r>
    </w:p>
    <w:p w14:paraId="2684C2FA" w14:textId="78D219E0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(c) lengvosios grandinės CDR3, apimanči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 SEQ ID Nr. 9, ir</w:t>
      </w:r>
    </w:p>
    <w:p w14:paraId="4E38AE56" w14:textId="76D15382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kur 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rišanti molekulė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rišasi su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komplemento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faktoriaus C2 domen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C2b.</w:t>
      </w:r>
    </w:p>
    <w:p w14:paraId="6F84F7F3" w14:textId="6D16639C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B2915E5" w14:textId="635F3706" w:rsidR="00D14B03" w:rsidRPr="000A43CB" w:rsidRDefault="00D14B03" w:rsidP="000A43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B06F46"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Surišanti molekulė, skirta naudoti pagal 1 punktą, apimanti imunoglobulino sunkiosios grandinės kintamą sritį ir imunoglobulino lengvosios grandinės kintamą sritį</w:t>
      </w:r>
    </w:p>
    <w:p w14:paraId="5239CC54" w14:textId="7B6484AC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(a) apiman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>čią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sekas SEQ ID Nr. 2 ir SEQ ID Nr. 3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atitinkamai 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(atitink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) arba SEQ ID Nr. 2 ir SEQ ID Nr. 96 atitink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arba</w:t>
      </w:r>
    </w:p>
    <w:p w14:paraId="0E60A010" w14:textId="56F13629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(b) apiman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>čią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sekas SEQ ID Nr. 103 ir SEQ ID Nr. 99 atitink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SEQ ID Nr. 104 ir SEQ ID Nr. 99 atitink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SEQ ID Nr. 105 ir SEQ ID Nr. 99 atitink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SEQ ID Nr. 106 ir SEQ ID Nr. 99 atitink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SEQ ID Nr. 103 ir SEQ ID Nr. 100 atitink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SEQ ID Nr. 104 ir SEQ ID Nr. 100 atitink</w:t>
      </w:r>
      <w:r w:rsidR="00DA78C1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SEQ ID Nr. 105 ir SEQ ID Nr. 100 atitink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SEQ ID Nr. 106 ir SEQ ID Nr. 100 atitink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SEQ ID Nr. 103 ir SEQ ID Nr. 101 atitink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SEQ ID Nr. 104 ir SEQ ID Nr. 101 atitink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SEQ ID Nr. 105 ir SEQ ID Nr. 101 atitink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SEQ ID Nr. 106 ir SEQ ID Nr. 101 atitink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SEQ ID Nr. 103 ir SEQ ID Nr. 102 atitink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SEQ ID Nr. 104 ir SEQ ID Nr. 102 atitink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SEQ ID Nr. 105 ir SEQ ID Nr. 102 atitink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arba SEQ ID Nr. 106 ir SEQ ID Nr. 102 atitink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; arba</w:t>
      </w:r>
    </w:p>
    <w:p w14:paraId="2BE94EB8" w14:textId="5FF288AF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(c) apiman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čią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sekas, nurodytas (a) ir/arba (b), bet kur viena arba abi iš minėtų sekų 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1-5 aminorūgščių pak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eitimus,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ir kur 1-5 aminorūgščių pak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eitimai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yra ne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CDR srityse.</w:t>
      </w:r>
    </w:p>
    <w:p w14:paraId="010F54B5" w14:textId="77777777" w:rsidR="000A43CB" w:rsidRPr="000A43CB" w:rsidRDefault="000A43CB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D00808E" w14:textId="33C1260C" w:rsidR="008C530F" w:rsidRPr="000A43CB" w:rsidRDefault="00D14B03" w:rsidP="000A43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0A43CB"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Surišanti molekulė, skirta naudoti pagal 1 arba 2 punktą, kur 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rišan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ti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molekulė yra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Fab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fragmentas,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viengrandis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Fv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(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scFv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) fragmentas, antikūnas arba antigeną surišantis </w:t>
      </w:r>
      <w:r w:rsidR="008C530F" w:rsidRPr="000A43CB">
        <w:rPr>
          <w:rFonts w:ascii="Helvetica" w:eastAsia="Times New Roman" w:hAnsi="Helvetica" w:cs="Arial"/>
          <w:sz w:val="20"/>
          <w:szCs w:val="24"/>
          <w:lang w:eastAsia="lt-LT"/>
        </w:rPr>
        <w:t>jo fragmentas.</w:t>
      </w:r>
    </w:p>
    <w:p w14:paraId="383DED9A" w14:textId="77777777" w:rsidR="000A43CB" w:rsidRPr="000A43CB" w:rsidRDefault="000A43CB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CA2D160" w14:textId="1B9A6516" w:rsidR="000C7448" w:rsidRPr="000A43CB" w:rsidRDefault="00D14B03" w:rsidP="000A43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0A43CB"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Antikūnas, skirtas naudoti pagal 3 punktą, kur antikūnas yra humanizuotas arba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deimunizuotas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IgG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IgA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IgD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IgE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arba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IgM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antikūnas, toks kaip IgG1, IgG2, IgG3 arba</w:t>
      </w:r>
      <w:r w:rsidR="000C7448" w:rsidRPr="000A43CB">
        <w:rPr>
          <w:rFonts w:ascii="Helvetica" w:hAnsi="Helvetica"/>
          <w:sz w:val="20"/>
        </w:rPr>
        <w:t xml:space="preserve"> </w:t>
      </w:r>
      <w:r w:rsidR="000C7448" w:rsidRPr="000A43CB">
        <w:rPr>
          <w:rFonts w:ascii="Helvetica" w:eastAsia="Times New Roman" w:hAnsi="Helvetica" w:cs="Arial"/>
          <w:sz w:val="20"/>
          <w:szCs w:val="24"/>
          <w:lang w:eastAsia="lt-LT"/>
        </w:rPr>
        <w:t>IgG4 antikūnas.</w:t>
      </w:r>
    </w:p>
    <w:p w14:paraId="45BCC409" w14:textId="0D24C933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5B975A4" w14:textId="67F16F28" w:rsidR="00D14B03" w:rsidRPr="000A43CB" w:rsidRDefault="00D14B03" w:rsidP="000A43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0A43CB"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Antikūnas, skirtas naudoti pagal 4 punktą,</w:t>
      </w:r>
    </w:p>
    <w:p w14:paraId="66E315C1" w14:textId="77777777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(a) apimantis aminorūgščių sekas SEQ ID Nr. 53 ir SEQ ID Nr. 54; arba</w:t>
      </w:r>
    </w:p>
    <w:p w14:paraId="30C66CA6" w14:textId="77777777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(b) apimantis aminorūgščių sekas SEQ ID Nr. 115 ir SEQ ID Nr. 119; SEQ ID Nr. 115 ir SEQ ID Nr. 120; SEQ ID Nr. 115 ir SEQ ID Nr. 121; SEQ ID Nr. 115 ir SEQ ID Nr. 122; SEQ ID Nr. 116 ir SEQ ID Nr. 119; SEQ ID Nr. 116 ir SEQ ID Nr. 120; SEQ ID Nr. 116 ir SEQ ID Nr. 121; SEQ ID Nr. 116 ir SEQ ID Nr. 122; SEQ ID Nr. 117 ir SEQ ID Nr. 119; SEQ ID Nr. 117 ir SEQ ID Nr. 120; SEQ ID Nr. 117 ir SEQ ID Nr. 121; SEQ ID Nr. 117 ir SEQ ID Nr. 122; SEQ ID Nr. 118 ir SEQ ID Nr. 119; SEQ ID Nr. 118 ir SEQ ID Nr. 120; SEQ ID Nr. 118 ir SEQ ID Nr. 121; arba SEQ ID Nr. 118 ir SEQ ID Nr. 122; arba</w:t>
      </w:r>
    </w:p>
    <w:p w14:paraId="4F39684D" w14:textId="2AAB8D01" w:rsidR="000C7448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 xml:space="preserve">(c) apimantis aminorūgščių sekas, nurodytas (a) ir/arba (b), bet kur viena arba abi iš minėtų sekų </w:t>
      </w:r>
      <w:r w:rsidR="000C7448" w:rsidRPr="000A43CB">
        <w:rPr>
          <w:rFonts w:ascii="Helvetica" w:eastAsia="Times New Roman" w:hAnsi="Helvetica" w:cs="Arial"/>
          <w:sz w:val="20"/>
          <w:szCs w:val="24"/>
          <w:lang w:eastAsia="lt-LT"/>
        </w:rPr>
        <w:t>apima 1-5 aminorūgščių pakeitimus, ir kur 1-5 aminorūgščių pakeitimai yra ne CDR srityse.</w:t>
      </w:r>
    </w:p>
    <w:p w14:paraId="124D3A67" w14:textId="77777777" w:rsidR="000C7448" w:rsidRPr="000A43CB" w:rsidRDefault="000C7448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6E3FB02" w14:textId="77777777" w:rsidR="000A43CB" w:rsidRPr="000A43CB" w:rsidRDefault="00D14B03" w:rsidP="000A43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0A43CB"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kompozicija, apimanti </w:t>
      </w:r>
      <w:r w:rsidR="000C7448" w:rsidRPr="000A43CB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rišančią molekulę arba antikūną, skirt</w:t>
      </w:r>
      <w:r w:rsidR="00980D27" w:rsidRPr="000A43CB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naudoti pagal bet kurį iš 1-5 punktų</w:t>
      </w:r>
      <w:r w:rsidR="00980D27" w:rsidRPr="000A43CB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ir farmaciniu požiūriu priimtiną nešiklį.</w:t>
      </w:r>
    </w:p>
    <w:p w14:paraId="103FADC7" w14:textId="33215E1C" w:rsidR="00D14B03" w:rsidRPr="000A43CB" w:rsidRDefault="00D14B03" w:rsidP="000A43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8A2B4DA" w14:textId="5EB6F041" w:rsidR="00775E75" w:rsidRPr="000A43CB" w:rsidRDefault="00D14B03" w:rsidP="000A43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0A43CB"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kompozicija, skirta naudoti pagal 6 punktą, kuri yra įvedama </w:t>
      </w:r>
      <w:proofErr w:type="spellStart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parenteraliai</w:t>
      </w:r>
      <w:proofErr w:type="spellEnd"/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>, geriau</w:t>
      </w:r>
      <w:r w:rsidR="00980D27" w:rsidRPr="000A43CB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80D27" w:rsidRPr="000A43CB">
        <w:rPr>
          <w:rFonts w:ascii="Helvetica" w:eastAsia="Times New Roman" w:hAnsi="Helvetica" w:cs="Arial"/>
          <w:sz w:val="20"/>
          <w:szCs w:val="24"/>
          <w:lang w:eastAsia="lt-LT"/>
        </w:rPr>
        <w:t>intraveniniu būdu</w:t>
      </w:r>
      <w:r w:rsidRPr="000A43CB">
        <w:rPr>
          <w:rFonts w:ascii="Helvetica" w:eastAsia="Times New Roman" w:hAnsi="Helvetica" w:cs="Arial"/>
          <w:sz w:val="20"/>
          <w:szCs w:val="24"/>
          <w:lang w:eastAsia="lt-LT"/>
        </w:rPr>
        <w:t xml:space="preserve"> arba po oda.</w:t>
      </w:r>
    </w:p>
    <w:sectPr w:rsidR="00775E75" w:rsidRPr="000A43CB" w:rsidSect="000A43CB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DB96" w14:textId="77777777" w:rsidR="000A76B3" w:rsidRDefault="000A76B3" w:rsidP="00E767F4">
      <w:pPr>
        <w:spacing w:after="0" w:line="240" w:lineRule="auto"/>
      </w:pPr>
      <w:r>
        <w:separator/>
      </w:r>
    </w:p>
  </w:endnote>
  <w:endnote w:type="continuationSeparator" w:id="0">
    <w:p w14:paraId="031A3526" w14:textId="77777777" w:rsidR="000A76B3" w:rsidRDefault="000A76B3" w:rsidP="00E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1AEF" w14:textId="77777777" w:rsidR="000A76B3" w:rsidRDefault="000A76B3" w:rsidP="00E767F4">
      <w:pPr>
        <w:spacing w:after="0" w:line="240" w:lineRule="auto"/>
      </w:pPr>
      <w:r>
        <w:separator/>
      </w:r>
    </w:p>
  </w:footnote>
  <w:footnote w:type="continuationSeparator" w:id="0">
    <w:p w14:paraId="508248A5" w14:textId="77777777" w:rsidR="000A76B3" w:rsidRDefault="000A76B3" w:rsidP="00E76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03"/>
    <w:rsid w:val="000A43CB"/>
    <w:rsid w:val="000A76B3"/>
    <w:rsid w:val="000C7448"/>
    <w:rsid w:val="000E0B1F"/>
    <w:rsid w:val="00117E20"/>
    <w:rsid w:val="00263AA5"/>
    <w:rsid w:val="002A21A7"/>
    <w:rsid w:val="003D46D6"/>
    <w:rsid w:val="00405E82"/>
    <w:rsid w:val="00405F5C"/>
    <w:rsid w:val="005A0592"/>
    <w:rsid w:val="007662F5"/>
    <w:rsid w:val="00775E75"/>
    <w:rsid w:val="007C43E0"/>
    <w:rsid w:val="00836648"/>
    <w:rsid w:val="008C530F"/>
    <w:rsid w:val="00980D27"/>
    <w:rsid w:val="009C1E5A"/>
    <w:rsid w:val="00B06F46"/>
    <w:rsid w:val="00BE6F3E"/>
    <w:rsid w:val="00D14B03"/>
    <w:rsid w:val="00D64113"/>
    <w:rsid w:val="00DA78C1"/>
    <w:rsid w:val="00E7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58A65"/>
  <w15:chartTrackingRefBased/>
  <w15:docId w15:val="{A828100E-1832-4750-90F8-6DACAF90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F4"/>
  </w:style>
  <w:style w:type="paragraph" w:styleId="Footer">
    <w:name w:val="footer"/>
    <w:basedOn w:val="Normal"/>
    <w:link w:val="FooterChar"/>
    <w:uiPriority w:val="99"/>
    <w:unhideWhenUsed/>
    <w:rsid w:val="00E7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673</Words>
  <Characters>3197</Characters>
  <Application>Microsoft Office Word</Application>
  <DocSecurity>0</DocSecurity>
  <Lines>58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2021-12-21T12:30:00Z</dcterms:created>
  <dcterms:modified xsi:type="dcterms:W3CDTF">2021-12-21T12:30:00Z</dcterms:modified>
</cp:coreProperties>
</file>