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B39F2" w14:textId="6CB08915" w:rsidR="00340B25" w:rsidRPr="00AB56AD" w:rsidRDefault="000E4ADB" w:rsidP="00AB56AD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1. Farmacinė kompozicija, apimanti antikūną, skirta naudoti vėžio ligos</w:t>
      </w:r>
      <w:r w:rsidR="00BD645E" w:rsidRPr="00AB56AD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AB56AD"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 b e s i s k i r i a n č i o s  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vėžin</w:t>
      </w:r>
      <w:r w:rsidR="00BD645E" w:rsidRPr="00AB56AD">
        <w:rPr>
          <w:rFonts w:ascii="Helvetica" w:eastAsia="Times New Roman" w:hAnsi="Helvetica" w:cs="Arial"/>
          <w:sz w:val="20"/>
          <w:szCs w:val="24"/>
          <w:lang w:eastAsia="lt-LT"/>
        </w:rPr>
        <w:t>ė</w:t>
      </w:r>
      <w:r w:rsidR="0021519D" w:rsidRPr="00AB56AD">
        <w:rPr>
          <w:rFonts w:ascii="Helvetica" w:eastAsia="Times New Roman" w:hAnsi="Helvetica" w:cs="Arial"/>
          <w:sz w:val="20"/>
          <w:szCs w:val="24"/>
          <w:lang w:eastAsia="lt-LT"/>
        </w:rPr>
        <w:t>mi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s ląstel</w:t>
      </w:r>
      <w:r w:rsidR="00BD645E" w:rsidRPr="00AB56AD">
        <w:rPr>
          <w:rFonts w:ascii="Helvetica" w:eastAsia="Times New Roman" w:hAnsi="Helvetica" w:cs="Arial"/>
          <w:sz w:val="20"/>
          <w:szCs w:val="24"/>
          <w:lang w:eastAsia="lt-LT"/>
        </w:rPr>
        <w:t>ė</w:t>
      </w:r>
      <w:r w:rsidR="0021519D" w:rsidRPr="00AB56AD">
        <w:rPr>
          <w:rFonts w:ascii="Helvetica" w:eastAsia="Times New Roman" w:hAnsi="Helvetica" w:cs="Arial"/>
          <w:sz w:val="20"/>
          <w:szCs w:val="24"/>
          <w:lang w:eastAsia="lt-LT"/>
        </w:rPr>
        <w:t>mi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s,</w:t>
      </w:r>
      <w:r w:rsidR="00BD645E"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vykd</w:t>
      </w:r>
      <w:r w:rsidR="0021519D" w:rsidRPr="00AB56AD">
        <w:rPr>
          <w:rFonts w:ascii="Helvetica" w:eastAsia="Times New Roman" w:hAnsi="Helvetica" w:cs="Arial"/>
          <w:sz w:val="20"/>
          <w:szCs w:val="24"/>
          <w:lang w:eastAsia="lt-LT"/>
        </w:rPr>
        <w:t>ančiomis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CLDN18.2</w:t>
      </w:r>
      <w:r w:rsidR="00BD645E"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raišką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r w:rsidR="003F2414"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gydymo arba prevencijos būdui, 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k</w:t>
      </w:r>
      <w:r w:rsidR="003F2414" w:rsidRPr="00AB56AD">
        <w:rPr>
          <w:rFonts w:ascii="Helvetica" w:eastAsia="Times New Roman" w:hAnsi="Helvetica" w:cs="Arial"/>
          <w:sz w:val="20"/>
          <w:szCs w:val="24"/>
          <w:lang w:eastAsia="lt-LT"/>
        </w:rPr>
        <w:t>ur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minėtas antikūnas</w:t>
      </w:r>
      <w:r w:rsidR="003F2414"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geba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specifiškai prisijungti prie CLDN18.2</w:t>
      </w:r>
      <w:r w:rsidR="003F2414" w:rsidRPr="00AB56AD">
        <w:rPr>
          <w:rFonts w:ascii="Helvetica" w:eastAsia="Times New Roman" w:hAnsi="Helvetica" w:cs="Arial"/>
          <w:sz w:val="20"/>
          <w:szCs w:val="24"/>
          <w:lang w:eastAsia="lt-LT"/>
        </w:rPr>
        <w:t>, esančio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ląstelės pavirši</w:t>
      </w:r>
      <w:r w:rsidR="003F2414" w:rsidRPr="00AB56AD">
        <w:rPr>
          <w:rFonts w:ascii="Helvetica" w:eastAsia="Times New Roman" w:hAnsi="Helvetica" w:cs="Arial"/>
          <w:sz w:val="20"/>
          <w:szCs w:val="24"/>
          <w:lang w:eastAsia="lt-LT"/>
        </w:rPr>
        <w:t>uje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ir tarpininkauti sunaikinant ląsteles, </w:t>
      </w:r>
      <w:r w:rsidR="003F2414"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vykdančias 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CLDN18.2</w:t>
      </w:r>
      <w:r w:rsidR="003F2414"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raišką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AB56AD"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ADCC </w:t>
      </w:r>
      <w:r w:rsidR="0051592F" w:rsidRPr="00AB56AD">
        <w:rPr>
          <w:rFonts w:ascii="Helvetica" w:eastAsia="Times New Roman" w:hAnsi="Helvetica" w:cs="Arial"/>
          <w:sz w:val="20"/>
          <w:szCs w:val="24"/>
          <w:lang w:eastAsia="lt-LT"/>
        </w:rPr>
        <w:t>ir (arba)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CDC</w:t>
      </w:r>
      <w:r w:rsidR="00D87950"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dėka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, kur </w:t>
      </w:r>
      <w:r w:rsidR="00D87950" w:rsidRPr="00AB56AD">
        <w:rPr>
          <w:rFonts w:ascii="Helvetica" w:eastAsia="Times New Roman" w:hAnsi="Helvetica" w:cs="Arial"/>
          <w:sz w:val="20"/>
          <w:szCs w:val="24"/>
          <w:lang w:eastAsia="lt-LT"/>
        </w:rPr>
        <w:t>bū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das apima išankstinį vėžio ląstelių apdorojimą agent</w:t>
      </w:r>
      <w:r w:rsidR="00D87950" w:rsidRPr="00AB56AD">
        <w:rPr>
          <w:rFonts w:ascii="Helvetica" w:eastAsia="Times New Roman" w:hAnsi="Helvetica" w:cs="Arial"/>
          <w:sz w:val="20"/>
          <w:szCs w:val="24"/>
          <w:lang w:eastAsia="lt-LT"/>
        </w:rPr>
        <w:t>u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, stabilizuojan</w:t>
      </w:r>
      <w:r w:rsidR="00D87950" w:rsidRPr="00AB56AD">
        <w:rPr>
          <w:rFonts w:ascii="Helvetica" w:eastAsia="Times New Roman" w:hAnsi="Helvetica" w:cs="Arial"/>
          <w:sz w:val="20"/>
          <w:szCs w:val="24"/>
          <w:lang w:eastAsia="lt-LT"/>
        </w:rPr>
        <w:t>čiu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arba </w:t>
      </w:r>
      <w:r w:rsidR="00891B12" w:rsidRPr="00AB56AD">
        <w:rPr>
          <w:rFonts w:ascii="Helvetica" w:eastAsia="Times New Roman" w:hAnsi="Helvetica" w:cs="Arial"/>
          <w:sz w:val="20"/>
          <w:szCs w:val="24"/>
          <w:lang w:eastAsia="lt-LT"/>
        </w:rPr>
        <w:t>sustipri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nan</w:t>
      </w:r>
      <w:r w:rsidR="00D87950" w:rsidRPr="00AB56AD">
        <w:rPr>
          <w:rFonts w:ascii="Helvetica" w:eastAsia="Times New Roman" w:hAnsi="Helvetica" w:cs="Arial"/>
          <w:sz w:val="20"/>
          <w:szCs w:val="24"/>
          <w:lang w:eastAsia="lt-LT"/>
        </w:rPr>
        <w:t>čiu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CLDN18.2 </w:t>
      </w:r>
      <w:r w:rsidR="00D87950" w:rsidRPr="00AB56AD">
        <w:rPr>
          <w:rFonts w:ascii="Helvetica" w:eastAsia="Times New Roman" w:hAnsi="Helvetica" w:cs="Arial"/>
          <w:sz w:val="20"/>
          <w:szCs w:val="24"/>
          <w:lang w:eastAsia="lt-LT"/>
        </w:rPr>
        <w:t>raišk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ą,</w:t>
      </w:r>
      <w:r w:rsidR="00D87950"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kur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minėtas agentas </w:t>
      </w:r>
      <w:r w:rsidR="00D87950"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yra 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parinktas iš grupės, susidedančios iš (i) 5-fluorouracilo, (ii) </w:t>
      </w:r>
      <w:proofErr w:type="spellStart"/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oksaliplatinos</w:t>
      </w:r>
      <w:proofErr w:type="spellEnd"/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ir 5-fluorouracilo, (iii) </w:t>
      </w:r>
      <w:proofErr w:type="spellStart"/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epirubicino</w:t>
      </w:r>
      <w:proofErr w:type="spellEnd"/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oksaliplatinos</w:t>
      </w:r>
      <w:proofErr w:type="spellEnd"/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ir 5-fluorouracilo, (iv) 5-fluorouracil</w:t>
      </w:r>
      <w:r w:rsidR="00D87950" w:rsidRPr="00AB56AD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folin</w:t>
      </w:r>
      <w:r w:rsidR="005744AF" w:rsidRPr="00AB56AD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proofErr w:type="spellEnd"/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rūgšti</w:t>
      </w:r>
      <w:r w:rsidR="00D87950" w:rsidRPr="00AB56AD">
        <w:rPr>
          <w:rFonts w:ascii="Helvetica" w:eastAsia="Times New Roman" w:hAnsi="Helvetica" w:cs="Arial"/>
          <w:sz w:val="20"/>
          <w:szCs w:val="24"/>
          <w:lang w:eastAsia="lt-LT"/>
        </w:rPr>
        <w:t>e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s ir </w:t>
      </w:r>
      <w:proofErr w:type="spellStart"/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oksaliplatin</w:t>
      </w:r>
      <w:r w:rsidR="00D87950" w:rsidRPr="00AB56AD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proofErr w:type="spellEnd"/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, (v) </w:t>
      </w:r>
      <w:proofErr w:type="spellStart"/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irinotekan</w:t>
      </w:r>
      <w:r w:rsidR="00D87950" w:rsidRPr="00AB56AD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proofErr w:type="spellEnd"/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, (vi) </w:t>
      </w:r>
      <w:proofErr w:type="spellStart"/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docetakseli</w:t>
      </w:r>
      <w:r w:rsidR="00D87950" w:rsidRPr="00AB56AD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proofErr w:type="spellEnd"/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, (vii) </w:t>
      </w:r>
      <w:proofErr w:type="spellStart"/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epirubicin</w:t>
      </w:r>
      <w:r w:rsidR="00340B25" w:rsidRPr="00AB56AD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proofErr w:type="spellEnd"/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, (viii) </w:t>
      </w:r>
      <w:proofErr w:type="spellStart"/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oksaliplatin</w:t>
      </w:r>
      <w:r w:rsidR="00340B25" w:rsidRPr="00AB56AD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proofErr w:type="spellEnd"/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ir (ix) </w:t>
      </w:r>
      <w:proofErr w:type="spellStart"/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cisplatin</w:t>
      </w:r>
      <w:r w:rsidR="00340B25" w:rsidRPr="00AB56AD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proofErr w:type="spellEnd"/>
      <w:r w:rsidR="00F30F32" w:rsidRPr="00AB56AD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ir minėtų agentų </w:t>
      </w:r>
      <w:proofErr w:type="spellStart"/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provaist</w:t>
      </w:r>
      <w:r w:rsidR="00340B25" w:rsidRPr="00AB56AD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proofErr w:type="spellEnd"/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, kur vėžys yra parinktas iš grupės, susidedančios </w:t>
      </w:r>
      <w:r w:rsidR="000F0E61"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iš 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skrandžio vėžio, stemplės, ypač stemplės</w:t>
      </w:r>
      <w:r w:rsidR="005744AF"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bookmarkStart w:id="0" w:name="_Hlk108562481"/>
      <w:r w:rsidR="005744AF" w:rsidRPr="00AB56AD">
        <w:rPr>
          <w:rFonts w:ascii="Helvetica" w:eastAsia="Times New Roman" w:hAnsi="Helvetica" w:cs="Arial"/>
          <w:sz w:val="20"/>
          <w:szCs w:val="24"/>
          <w:lang w:eastAsia="lt-LT"/>
        </w:rPr>
        <w:t>apatinės dalies</w:t>
      </w:r>
      <w:bookmarkEnd w:id="0"/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r w:rsidR="00340B25"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vėžio, 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stemplės-skrandžio jungties vėžio ir </w:t>
      </w:r>
      <w:proofErr w:type="spellStart"/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gastroezofaginio</w:t>
      </w:r>
      <w:proofErr w:type="spellEnd"/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vėžio, ypač kai vėžys yra skrandžio vėžio metastazės, </w:t>
      </w:r>
      <w:r w:rsidR="00340B25" w:rsidRPr="00AB56AD">
        <w:rPr>
          <w:rFonts w:ascii="Helvetica" w:eastAsia="Times New Roman" w:hAnsi="Helvetica" w:cs="Arial"/>
          <w:sz w:val="20"/>
          <w:szCs w:val="24"/>
          <w:lang w:eastAsia="lt-LT"/>
        </w:rPr>
        <w:t>labiau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Krukenbergo</w:t>
      </w:r>
      <w:proofErr w:type="spellEnd"/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navikai, pilvaplėvės metastazės ir </w:t>
      </w:r>
      <w:r w:rsidR="00340B25" w:rsidRPr="00AB56AD">
        <w:rPr>
          <w:rFonts w:ascii="Helvetica" w:eastAsia="Times New Roman" w:hAnsi="Helvetica" w:cs="Arial"/>
          <w:sz w:val="20"/>
          <w:szCs w:val="24"/>
          <w:lang w:eastAsia="lt-LT"/>
        </w:rPr>
        <w:t>metastazės limfmazgiuose.</w:t>
      </w:r>
    </w:p>
    <w:p w14:paraId="5C255894" w14:textId="77777777" w:rsidR="00AB56AD" w:rsidRPr="00AB56AD" w:rsidRDefault="00AB56AD" w:rsidP="00AB56AD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14483E24" w14:textId="349FA949" w:rsidR="000F0E61" w:rsidRPr="00AB56AD" w:rsidRDefault="000E4ADB" w:rsidP="00AB56AD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2.</w:t>
      </w:r>
      <w:r w:rsidR="00A534FE"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Agentas, stabilizuojantis ar</w:t>
      </w:r>
      <w:r w:rsidR="005744AF" w:rsidRPr="00AB56AD">
        <w:rPr>
          <w:rFonts w:ascii="Helvetica" w:eastAsia="Times New Roman" w:hAnsi="Helvetica" w:cs="Arial"/>
          <w:sz w:val="20"/>
          <w:szCs w:val="24"/>
          <w:lang w:eastAsia="lt-LT"/>
        </w:rPr>
        <w:t>ba sustiprin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antis CLDN18.2 </w:t>
      </w:r>
      <w:r w:rsidR="005744AF" w:rsidRPr="00AB56AD">
        <w:rPr>
          <w:rFonts w:ascii="Helvetica" w:eastAsia="Times New Roman" w:hAnsi="Helvetica" w:cs="Arial"/>
          <w:sz w:val="20"/>
          <w:szCs w:val="24"/>
          <w:lang w:eastAsia="lt-LT"/>
        </w:rPr>
        <w:t>raišk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ą, skirtas naudoti vėžio ligos</w:t>
      </w:r>
      <w:r w:rsidR="00974773" w:rsidRPr="00AB56AD">
        <w:rPr>
          <w:rFonts w:ascii="Helvetica" w:eastAsia="Times New Roman" w:hAnsi="Helvetica" w:cs="Arial"/>
          <w:spacing w:val="30"/>
          <w:sz w:val="20"/>
          <w:szCs w:val="24"/>
          <w:lang w:eastAsia="lt-LT"/>
        </w:rPr>
        <w:t>,</w:t>
      </w:r>
      <w:r w:rsidR="00AB56AD" w:rsidRPr="00AB56AD">
        <w:rPr>
          <w:rFonts w:ascii="Helvetica" w:eastAsia="Times New Roman" w:hAnsi="Helvetica" w:cs="Arial"/>
          <w:spacing w:val="30"/>
          <w:sz w:val="20"/>
          <w:szCs w:val="24"/>
          <w:lang w:eastAsia="lt-LT"/>
        </w:rPr>
        <w:t xml:space="preserve">  b e s i s k i r i a n č i o s  </w:t>
      </w:r>
      <w:r w:rsidR="007A08FD"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vėžinėmis ląstelėmis, vykdančiomis </w:t>
      </w:r>
      <w:r w:rsidR="008B01A1"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CLDN18.2 raišką, gydymo arba prevencijos būdui, 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kur </w:t>
      </w:r>
      <w:r w:rsidR="008B01A1" w:rsidRPr="00AB56AD">
        <w:rPr>
          <w:rFonts w:ascii="Helvetica" w:eastAsia="Times New Roman" w:hAnsi="Helvetica" w:cs="Arial"/>
          <w:sz w:val="20"/>
          <w:szCs w:val="24"/>
          <w:lang w:eastAsia="lt-LT"/>
        </w:rPr>
        <w:t>bū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das apima</w:t>
      </w:r>
      <w:r w:rsidR="007A08FD"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išankstinį vėžio ląstelių apdorojimą agentu, kur agentas yra parinktas iš grupės, susidedančios iš (i) 5-fluorouracilo, (ii) </w:t>
      </w:r>
      <w:proofErr w:type="spellStart"/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oksaliplatinos</w:t>
      </w:r>
      <w:proofErr w:type="spellEnd"/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ir 5-fluorouracilo, (iii) </w:t>
      </w:r>
      <w:proofErr w:type="spellStart"/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epirubicin</w:t>
      </w:r>
      <w:r w:rsidR="008B01A1" w:rsidRPr="00AB56AD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proofErr w:type="spellEnd"/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oksaliplatin</w:t>
      </w:r>
      <w:r w:rsidR="008B01A1" w:rsidRPr="00AB56AD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proofErr w:type="spellEnd"/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ir 5-fluorouracil</w:t>
      </w:r>
      <w:r w:rsidR="008B01A1" w:rsidRPr="00AB56AD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, (iv) 5-fluorouracil</w:t>
      </w:r>
      <w:r w:rsidR="008B01A1" w:rsidRPr="00AB56AD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folino</w:t>
      </w:r>
      <w:proofErr w:type="spellEnd"/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rūgšti</w:t>
      </w:r>
      <w:r w:rsidR="008B01A1" w:rsidRPr="00AB56AD">
        <w:rPr>
          <w:rFonts w:ascii="Helvetica" w:eastAsia="Times New Roman" w:hAnsi="Helvetica" w:cs="Arial"/>
          <w:sz w:val="20"/>
          <w:szCs w:val="24"/>
          <w:lang w:eastAsia="lt-LT"/>
        </w:rPr>
        <w:t>e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s ir </w:t>
      </w:r>
      <w:proofErr w:type="spellStart"/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oksaliplatin</w:t>
      </w:r>
      <w:r w:rsidR="008B01A1" w:rsidRPr="00AB56AD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proofErr w:type="spellEnd"/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, (v) </w:t>
      </w:r>
      <w:proofErr w:type="spellStart"/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irinotekan</w:t>
      </w:r>
      <w:r w:rsidR="008B01A1" w:rsidRPr="00AB56AD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proofErr w:type="spellEnd"/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, (vi) </w:t>
      </w:r>
      <w:proofErr w:type="spellStart"/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docetakseli</w:t>
      </w:r>
      <w:r w:rsidR="008B01A1" w:rsidRPr="00AB56AD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proofErr w:type="spellEnd"/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, (vii) </w:t>
      </w:r>
      <w:proofErr w:type="spellStart"/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epirubicin</w:t>
      </w:r>
      <w:r w:rsidR="008B01A1" w:rsidRPr="00AB56AD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proofErr w:type="spellEnd"/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, (viii) </w:t>
      </w:r>
      <w:proofErr w:type="spellStart"/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oksaliplatin</w:t>
      </w:r>
      <w:r w:rsidR="008B01A1" w:rsidRPr="00AB56AD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proofErr w:type="spellEnd"/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ir (ix) </w:t>
      </w:r>
      <w:proofErr w:type="spellStart"/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cisplatin</w:t>
      </w:r>
      <w:r w:rsidR="008B01A1" w:rsidRPr="00AB56AD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proofErr w:type="spellEnd"/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ir minėtų</w:t>
      </w:r>
      <w:r w:rsidR="008B01A1"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agentų </w:t>
      </w:r>
      <w:proofErr w:type="spellStart"/>
      <w:r w:rsidR="008B01A1" w:rsidRPr="00AB56AD">
        <w:rPr>
          <w:rFonts w:ascii="Helvetica" w:eastAsia="Times New Roman" w:hAnsi="Helvetica" w:cs="Arial"/>
          <w:sz w:val="20"/>
          <w:szCs w:val="24"/>
          <w:lang w:eastAsia="lt-LT"/>
        </w:rPr>
        <w:t>provaistų</w:t>
      </w:r>
      <w:proofErr w:type="spellEnd"/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, ir kur </w:t>
      </w:r>
      <w:r w:rsidR="008B01A1" w:rsidRPr="00AB56AD">
        <w:rPr>
          <w:rFonts w:ascii="Helvetica" w:eastAsia="Times New Roman" w:hAnsi="Helvetica" w:cs="Arial"/>
          <w:sz w:val="20"/>
          <w:szCs w:val="24"/>
          <w:lang w:eastAsia="lt-LT"/>
        </w:rPr>
        <w:t>bū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das papildomai apima vėžio ląstelių gydymą antikūn</w:t>
      </w:r>
      <w:r w:rsidR="007A08FD" w:rsidRPr="00AB56AD">
        <w:rPr>
          <w:rFonts w:ascii="Helvetica" w:eastAsia="Times New Roman" w:hAnsi="Helvetica" w:cs="Arial"/>
          <w:sz w:val="20"/>
          <w:szCs w:val="24"/>
          <w:lang w:eastAsia="lt-LT"/>
        </w:rPr>
        <w:t>ais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, turinči</w:t>
      </w:r>
      <w:r w:rsidR="005B11F5" w:rsidRPr="00AB56AD">
        <w:rPr>
          <w:rFonts w:ascii="Helvetica" w:eastAsia="Times New Roman" w:hAnsi="Helvetica" w:cs="Arial"/>
          <w:sz w:val="20"/>
          <w:szCs w:val="24"/>
          <w:lang w:eastAsia="lt-LT"/>
        </w:rPr>
        <w:t>ais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gebėjimą specifiškai prisijungti prie CLDN18.2</w:t>
      </w:r>
      <w:r w:rsidR="001D7380" w:rsidRPr="00AB56AD">
        <w:rPr>
          <w:rFonts w:ascii="Helvetica" w:eastAsia="Times New Roman" w:hAnsi="Helvetica" w:cs="Arial"/>
          <w:sz w:val="20"/>
          <w:szCs w:val="24"/>
          <w:lang w:eastAsia="lt-LT"/>
        </w:rPr>
        <w:t>, esančio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ląstelės pavirši</w:t>
      </w:r>
      <w:r w:rsidR="001D7380" w:rsidRPr="00AB56AD">
        <w:rPr>
          <w:rFonts w:ascii="Helvetica" w:eastAsia="Times New Roman" w:hAnsi="Helvetica" w:cs="Arial"/>
          <w:sz w:val="20"/>
          <w:szCs w:val="24"/>
          <w:lang w:eastAsia="lt-LT"/>
        </w:rPr>
        <w:t>uje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, ir tarpinink</w:t>
      </w:r>
      <w:r w:rsidR="001D7380" w:rsidRPr="00AB56AD">
        <w:rPr>
          <w:rFonts w:ascii="Helvetica" w:eastAsia="Times New Roman" w:hAnsi="Helvetica" w:cs="Arial"/>
          <w:sz w:val="20"/>
          <w:szCs w:val="24"/>
          <w:lang w:eastAsia="lt-LT"/>
        </w:rPr>
        <w:t>auti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ląstelių, </w:t>
      </w:r>
      <w:r w:rsidR="001D7380"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vykdančių 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CLDN18.2</w:t>
      </w:r>
      <w:r w:rsidR="001D7380"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raišką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1D7380"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sunaikini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m</w:t>
      </w:r>
      <w:r w:rsidR="001D7380" w:rsidRPr="00AB56AD">
        <w:rPr>
          <w:rFonts w:ascii="Helvetica" w:eastAsia="Times New Roman" w:hAnsi="Helvetica" w:cs="Arial"/>
          <w:sz w:val="20"/>
          <w:szCs w:val="24"/>
          <w:lang w:eastAsia="lt-LT"/>
        </w:rPr>
        <w:t>e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ADCC </w:t>
      </w:r>
      <w:r w:rsidR="0051592F" w:rsidRPr="00AB56AD">
        <w:rPr>
          <w:rFonts w:ascii="Helvetica" w:eastAsia="Times New Roman" w:hAnsi="Helvetica" w:cs="Arial"/>
          <w:sz w:val="20"/>
          <w:szCs w:val="24"/>
          <w:lang w:eastAsia="lt-LT"/>
        </w:rPr>
        <w:t>ir (arba)</w:t>
      </w:r>
      <w:r w:rsidR="001D7380"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CDC</w:t>
      </w:r>
      <w:r w:rsidR="001D7380"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dėka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, kur vėžys yra </w:t>
      </w:r>
      <w:r w:rsidR="001D7380" w:rsidRPr="00AB56AD">
        <w:rPr>
          <w:rFonts w:ascii="Helvetica" w:eastAsia="Times New Roman" w:hAnsi="Helvetica" w:cs="Arial"/>
          <w:sz w:val="20"/>
          <w:szCs w:val="24"/>
          <w:lang w:eastAsia="lt-LT"/>
        </w:rPr>
        <w:t>pa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rinktas. iš grupės, </w:t>
      </w:r>
      <w:r w:rsidR="000F0E61"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susidedančios iš skrandžio vėžio, stemplės, ypač stemplės apatinės dalies, vėžio, stemplės-skrandžio jungties vėžio ir </w:t>
      </w:r>
      <w:proofErr w:type="spellStart"/>
      <w:r w:rsidR="000F0E61" w:rsidRPr="00AB56AD">
        <w:rPr>
          <w:rFonts w:ascii="Helvetica" w:eastAsia="Times New Roman" w:hAnsi="Helvetica" w:cs="Arial"/>
          <w:sz w:val="20"/>
          <w:szCs w:val="24"/>
          <w:lang w:eastAsia="lt-LT"/>
        </w:rPr>
        <w:t>gastroezofaginio</w:t>
      </w:r>
      <w:proofErr w:type="spellEnd"/>
      <w:r w:rsidR="000F0E61"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vėžio, ypač kai vėžys yra skrandžio vėžio metastazės, labiau </w:t>
      </w:r>
      <w:proofErr w:type="spellStart"/>
      <w:r w:rsidR="000F0E61" w:rsidRPr="00AB56AD">
        <w:rPr>
          <w:rFonts w:ascii="Helvetica" w:eastAsia="Times New Roman" w:hAnsi="Helvetica" w:cs="Arial"/>
          <w:sz w:val="20"/>
          <w:szCs w:val="24"/>
          <w:lang w:eastAsia="lt-LT"/>
        </w:rPr>
        <w:t>Krukenbergo</w:t>
      </w:r>
      <w:proofErr w:type="spellEnd"/>
      <w:r w:rsidR="000F0E61"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navikai, pilvaplėvės metastazės ir metastazės limfmazgiuose.</w:t>
      </w:r>
    </w:p>
    <w:p w14:paraId="3D290F5E" w14:textId="77777777" w:rsidR="00AB56AD" w:rsidRPr="00AB56AD" w:rsidRDefault="00AB56AD" w:rsidP="00AB56AD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50DD6012" w14:textId="6B3F6EE6" w:rsidR="00DD7D0D" w:rsidRPr="00AB56AD" w:rsidRDefault="000E4ADB" w:rsidP="00AB56AD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3.</w:t>
      </w:r>
      <w:r w:rsidR="00A534FE"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Farmacinė kompozicija, skirta naudoti pagal 1 punktą, arba agentas, skirtas naudoti pagal 2 punktą, kur būdas papildomai apima agento, stimuliuojančio </w:t>
      </w:r>
      <w:proofErr w:type="spellStart"/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γδ</w:t>
      </w:r>
      <w:proofErr w:type="spellEnd"/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T ląsteles, skyrimą, kur minėtas agentas yra </w:t>
      </w:r>
      <w:proofErr w:type="spellStart"/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bisfosfonatas</w:t>
      </w:r>
      <w:proofErr w:type="spellEnd"/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arba agentas, parinktas iš grupės, susidedančios iš </w:t>
      </w:r>
      <w:proofErr w:type="spellStart"/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zoledrono</w:t>
      </w:r>
      <w:proofErr w:type="spellEnd"/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rūgšties, </w:t>
      </w:r>
      <w:proofErr w:type="spellStart"/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klodrono</w:t>
      </w:r>
      <w:proofErr w:type="spellEnd"/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rūgšties</w:t>
      </w:r>
      <w:r w:rsidR="00DD7D0D" w:rsidRPr="00AB56AD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ibandrono</w:t>
      </w:r>
      <w:proofErr w:type="spellEnd"/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rūgšti</w:t>
      </w:r>
      <w:r w:rsidR="00DD7D0D" w:rsidRPr="00AB56AD">
        <w:rPr>
          <w:rFonts w:ascii="Helvetica" w:eastAsia="Times New Roman" w:hAnsi="Helvetica" w:cs="Arial"/>
          <w:sz w:val="20"/>
          <w:szCs w:val="24"/>
          <w:lang w:eastAsia="lt-LT"/>
        </w:rPr>
        <w:t>e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s, </w:t>
      </w:r>
      <w:proofErr w:type="spellStart"/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pamidrono</w:t>
      </w:r>
      <w:proofErr w:type="spellEnd"/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rūgšti</w:t>
      </w:r>
      <w:r w:rsidR="00DD7D0D" w:rsidRPr="00AB56AD">
        <w:rPr>
          <w:rFonts w:ascii="Helvetica" w:eastAsia="Times New Roman" w:hAnsi="Helvetica" w:cs="Arial"/>
          <w:sz w:val="20"/>
          <w:szCs w:val="24"/>
          <w:lang w:eastAsia="lt-LT"/>
        </w:rPr>
        <w:t>e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s, </w:t>
      </w:r>
      <w:proofErr w:type="spellStart"/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ri</w:t>
      </w:r>
      <w:r w:rsidR="002F721D" w:rsidRPr="00AB56AD">
        <w:rPr>
          <w:rFonts w:ascii="Helvetica" w:eastAsia="Times New Roman" w:hAnsi="Helvetica" w:cs="Arial"/>
          <w:sz w:val="20"/>
          <w:szCs w:val="24"/>
          <w:lang w:eastAsia="lt-LT"/>
        </w:rPr>
        <w:t>z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edrono</w:t>
      </w:r>
      <w:proofErr w:type="spellEnd"/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rūgšti</w:t>
      </w:r>
      <w:r w:rsidR="00DD7D0D" w:rsidRPr="00AB56AD">
        <w:rPr>
          <w:rFonts w:ascii="Helvetica" w:eastAsia="Times New Roman" w:hAnsi="Helvetica" w:cs="Arial"/>
          <w:sz w:val="20"/>
          <w:szCs w:val="24"/>
          <w:lang w:eastAsia="lt-LT"/>
        </w:rPr>
        <w:t>e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s, </w:t>
      </w:r>
      <w:proofErr w:type="spellStart"/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minodrono</w:t>
      </w:r>
      <w:proofErr w:type="spellEnd"/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rūgšti</w:t>
      </w:r>
      <w:r w:rsidR="00DD7D0D" w:rsidRPr="00AB56AD">
        <w:rPr>
          <w:rFonts w:ascii="Helvetica" w:eastAsia="Times New Roman" w:hAnsi="Helvetica" w:cs="Arial"/>
          <w:sz w:val="20"/>
          <w:szCs w:val="24"/>
          <w:lang w:eastAsia="lt-LT"/>
        </w:rPr>
        <w:t>e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s, </w:t>
      </w:r>
      <w:proofErr w:type="spellStart"/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olpadrono</w:t>
      </w:r>
      <w:proofErr w:type="spellEnd"/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rūgšti</w:t>
      </w:r>
      <w:r w:rsidR="00DD7D0D" w:rsidRPr="00AB56AD">
        <w:rPr>
          <w:rFonts w:ascii="Helvetica" w:eastAsia="Times New Roman" w:hAnsi="Helvetica" w:cs="Arial"/>
          <w:sz w:val="20"/>
          <w:szCs w:val="24"/>
          <w:lang w:eastAsia="lt-LT"/>
        </w:rPr>
        <w:t>e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s, </w:t>
      </w:r>
      <w:proofErr w:type="spellStart"/>
      <w:r w:rsidR="00DD7D0D" w:rsidRPr="00AB56AD">
        <w:rPr>
          <w:rFonts w:ascii="Helvetica" w:eastAsia="Times New Roman" w:hAnsi="Helvetica" w:cs="Arial"/>
          <w:sz w:val="20"/>
          <w:szCs w:val="24"/>
          <w:lang w:eastAsia="lt-LT"/>
        </w:rPr>
        <w:t>alendrono</w:t>
      </w:r>
      <w:proofErr w:type="spellEnd"/>
      <w:r w:rsidR="00DD7D0D"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rūgšties, </w:t>
      </w:r>
      <w:proofErr w:type="spellStart"/>
      <w:r w:rsidR="00DD7D0D" w:rsidRPr="00AB56AD">
        <w:rPr>
          <w:rFonts w:ascii="Helvetica" w:eastAsia="Times New Roman" w:hAnsi="Helvetica" w:cs="Arial"/>
          <w:sz w:val="20"/>
          <w:szCs w:val="24"/>
          <w:lang w:eastAsia="lt-LT"/>
        </w:rPr>
        <w:t>inkadrono</w:t>
      </w:r>
      <w:proofErr w:type="spellEnd"/>
      <w:r w:rsidR="00DD7D0D"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rūgšties ir jų druskų.</w:t>
      </w:r>
    </w:p>
    <w:p w14:paraId="7B8E6104" w14:textId="77777777" w:rsidR="00AB56AD" w:rsidRPr="00AB56AD" w:rsidRDefault="00AB56AD" w:rsidP="00AB56AD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2D5BAAE7" w14:textId="202CD336" w:rsidR="00DD7D0D" w:rsidRPr="00AB56AD" w:rsidRDefault="000E4ADB" w:rsidP="00AB56AD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4.</w:t>
      </w:r>
      <w:r w:rsidR="00A534FE"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Farmacinė kompozicija, skirta naudoti pagal 3 punktą, arba agentas, skirtas naudoti </w:t>
      </w:r>
      <w:r w:rsidR="00DD7D0D"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pagal 3 punktą, kur </w:t>
      </w:r>
      <w:proofErr w:type="spellStart"/>
      <w:r w:rsidR="00DD7D0D" w:rsidRPr="00AB56AD">
        <w:rPr>
          <w:rFonts w:ascii="Helvetica" w:eastAsia="Times New Roman" w:hAnsi="Helvetica" w:cs="Arial"/>
          <w:sz w:val="20"/>
          <w:szCs w:val="24"/>
          <w:lang w:eastAsia="lt-LT"/>
        </w:rPr>
        <w:t>γδ</w:t>
      </w:r>
      <w:proofErr w:type="spellEnd"/>
      <w:r w:rsidR="00DD7D0D"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T ląstelės yra Vγ9Vδ2 T ląstelės.</w:t>
      </w:r>
    </w:p>
    <w:p w14:paraId="72AF82B9" w14:textId="77777777" w:rsidR="00AB56AD" w:rsidRPr="00AB56AD" w:rsidRDefault="00AB56AD" w:rsidP="00AB56AD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4960C794" w14:textId="77777777" w:rsidR="00AB56AD" w:rsidRDefault="000E4ADB" w:rsidP="00AB56AD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5.</w:t>
      </w:r>
      <w:r w:rsidR="00A534FE"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Farmacinė kompozicija, skirta naudoti pagal bet kurį</w:t>
      </w:r>
      <w:r w:rsidR="00DD7D0D"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iš 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3 arba 4 punkt</w:t>
      </w:r>
      <w:r w:rsidR="00DD7D0D" w:rsidRPr="00AB56AD">
        <w:rPr>
          <w:rFonts w:ascii="Helvetica" w:eastAsia="Times New Roman" w:hAnsi="Helvetica" w:cs="Arial"/>
          <w:sz w:val="20"/>
          <w:szCs w:val="24"/>
          <w:lang w:eastAsia="lt-LT"/>
        </w:rPr>
        <w:t>ų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, arba agentas, skirtas naudoti pagal 3 arba 4 punktą, kur agentas, stimuliuojantis </w:t>
      </w:r>
      <w:proofErr w:type="spellStart"/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γδ</w:t>
      </w:r>
      <w:proofErr w:type="spellEnd"/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T </w:t>
      </w:r>
      <w:r w:rsidR="00DD7D0D" w:rsidRPr="00AB56AD">
        <w:rPr>
          <w:rFonts w:ascii="Helvetica" w:eastAsia="Times New Roman" w:hAnsi="Helvetica" w:cs="Arial"/>
          <w:sz w:val="20"/>
          <w:szCs w:val="24"/>
          <w:lang w:eastAsia="lt-LT"/>
        </w:rPr>
        <w:t>ląsteles, yra skiriamas kartu su interleukinu-2.</w:t>
      </w:r>
    </w:p>
    <w:p w14:paraId="31CF017E" w14:textId="77777777" w:rsidR="00AB56AD" w:rsidRDefault="00AB56AD" w:rsidP="00AB56AD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4962D955" w14:textId="20D54BF0" w:rsidR="000E4ADB" w:rsidRPr="00AB56AD" w:rsidRDefault="000E4ADB" w:rsidP="00AB56AD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6.Farmacinė kompozicija, skirta naudoti pagal bet kurį iš 1 ir 3-5 punktų, arba agentas, skirtas naudoti pagal bet kurį iš 2-5 punktų, kur antikūnas, </w:t>
      </w:r>
      <w:r w:rsidR="006160E3" w:rsidRPr="00AB56AD">
        <w:rPr>
          <w:rFonts w:ascii="Helvetica" w:eastAsia="Times New Roman" w:hAnsi="Helvetica" w:cs="Arial"/>
          <w:sz w:val="20"/>
          <w:szCs w:val="24"/>
          <w:lang w:eastAsia="lt-LT"/>
        </w:rPr>
        <w:t>gebantis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prisijungti prie CLDN18.2, yra antikūnas arba jo variantas</w:t>
      </w:r>
      <w:r w:rsidR="006160E3" w:rsidRPr="00AB56AD">
        <w:rPr>
          <w:rFonts w:ascii="Helvetica" w:eastAsia="Times New Roman" w:hAnsi="Helvetica" w:cs="Arial"/>
          <w:sz w:val="20"/>
          <w:szCs w:val="24"/>
          <w:lang w:eastAsia="lt-LT"/>
        </w:rPr>
        <w:t>, turintis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modifikacij</w:t>
      </w:r>
      <w:r w:rsidR="006160E3" w:rsidRPr="00AB56AD">
        <w:rPr>
          <w:rFonts w:ascii="Helvetica" w:eastAsia="Times New Roman" w:hAnsi="Helvetica" w:cs="Arial"/>
          <w:sz w:val="20"/>
          <w:szCs w:val="24"/>
          <w:lang w:eastAsia="lt-LT"/>
        </w:rPr>
        <w:t>ą CDR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, kur antikūnas apima VH ir VL</w:t>
      </w:r>
      <w:r w:rsidR="00D809B0"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sričių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derinį, kurių kiekviena apima </w:t>
      </w:r>
      <w:proofErr w:type="spellStart"/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komplementarumą</w:t>
      </w:r>
      <w:proofErr w:type="spellEnd"/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D62444"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lemiančių 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sričių CDR1, CDR2 ir CDR3 rinkinį, parinktą iš šių (i)–(ix)</w:t>
      </w:r>
      <w:r w:rsidR="006D3BDC"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įgyvendinimo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variantų:</w:t>
      </w:r>
    </w:p>
    <w:p w14:paraId="70387AED" w14:textId="7B8C9897" w:rsidR="000E4ADB" w:rsidRPr="00AB56AD" w:rsidRDefault="000E4ADB" w:rsidP="00AB56A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(i) VH: CDR1: SEQ ID Nr. 14 45-52 padėtys, CDR2: SEQ ID Nr. 14 70-77 padėtys, CDR3: SEQ ID Nr. 14 116-125 padėtys, VL: CDR1: SEQ ID Nr. 21</w:t>
      </w:r>
      <w:r w:rsidR="00603AD1"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49-53 padėtys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, CDR2: SEQ ID Nr. 21 71-73 padėtys, CDR3: SEQ ID Nr. 21 110-118 padėtys,</w:t>
      </w:r>
    </w:p>
    <w:p w14:paraId="41D0C943" w14:textId="3868CE65" w:rsidR="000E4ADB" w:rsidRPr="00AB56AD" w:rsidRDefault="000E4ADB" w:rsidP="00AB56A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lastRenderedPageBreak/>
        <w:t>(ii) VH: CDR1: SEQ ID Nr. 15 45-52</w:t>
      </w:r>
      <w:r w:rsidR="00603AD1"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padėtys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, CDR2: SEQ ID Nr. 15 70-77 padėtys, CDR3: SEQ ID Nr. 15 116-126 padėtys, VL: CDR1: SEQ ID N</w:t>
      </w:r>
      <w:r w:rsidR="00603AD1" w:rsidRPr="00AB56AD">
        <w:rPr>
          <w:rFonts w:ascii="Helvetica" w:eastAsia="Times New Roman" w:hAnsi="Helvetica" w:cs="Arial"/>
          <w:sz w:val="20"/>
          <w:szCs w:val="24"/>
          <w:lang w:eastAsia="lt-LT"/>
        </w:rPr>
        <w:t>r.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20</w:t>
      </w:r>
      <w:r w:rsidR="00603AD1"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47-58 padėtys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, CDR2: SEQ ID N</w:t>
      </w:r>
      <w:r w:rsidR="00603AD1"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r. 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20 76-78 padėtys, CDR3: SEQ ID N</w:t>
      </w:r>
      <w:r w:rsidR="00603AD1" w:rsidRPr="00AB56AD">
        <w:rPr>
          <w:rFonts w:ascii="Helvetica" w:eastAsia="Times New Roman" w:hAnsi="Helvetica" w:cs="Arial"/>
          <w:sz w:val="20"/>
          <w:szCs w:val="24"/>
          <w:lang w:eastAsia="lt-LT"/>
        </w:rPr>
        <w:t>r.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20 115-123 padėtys,</w:t>
      </w:r>
    </w:p>
    <w:p w14:paraId="01C5F03A" w14:textId="0DFF92C1" w:rsidR="000E4ADB" w:rsidRPr="00AB56AD" w:rsidRDefault="000E4ADB" w:rsidP="00AB56A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(iii) VH: CDR1: SEQ ID Nr. 16 45-52 padėtys, CDR2: SEQ ID Nr. 16 70-77 padėtys, CDR3: SEQ ID Nr. 16 116-124 padėtys, VL: CDR1: SEQ ID N</w:t>
      </w:r>
      <w:r w:rsidR="00E13F1E"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r. 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22</w:t>
      </w:r>
      <w:r w:rsidR="00E13F1E"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47-52 padėtys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, CDR2: SEQ ID N</w:t>
      </w:r>
      <w:r w:rsidR="00E13F1E" w:rsidRPr="00AB56AD">
        <w:rPr>
          <w:rFonts w:ascii="Helvetica" w:eastAsia="Times New Roman" w:hAnsi="Helvetica" w:cs="Arial"/>
          <w:sz w:val="20"/>
          <w:szCs w:val="24"/>
          <w:lang w:eastAsia="lt-LT"/>
        </w:rPr>
        <w:t>r.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22 70-72 padėtys, CDR3: SEQ ID N</w:t>
      </w:r>
      <w:r w:rsidR="00E13F1E" w:rsidRPr="00AB56AD">
        <w:rPr>
          <w:rFonts w:ascii="Helvetica" w:eastAsia="Times New Roman" w:hAnsi="Helvetica" w:cs="Arial"/>
          <w:sz w:val="20"/>
          <w:szCs w:val="24"/>
          <w:lang w:eastAsia="lt-LT"/>
        </w:rPr>
        <w:t>r.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22 109-117 padėtys,</w:t>
      </w:r>
    </w:p>
    <w:p w14:paraId="219D8F3A" w14:textId="0DB8E3DA" w:rsidR="000E4ADB" w:rsidRPr="00AB56AD" w:rsidRDefault="000E4ADB" w:rsidP="00AB56A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(iv) VH: CDR1: SEQ ID Nr. 18 44-51 padėtys, CDR2: SEQ ID Nr. 18 69-76 padėtys, CDR3: SEQ ID Nr. 18 115-125 padėtys, VL: CDR1: SEQ ID N</w:t>
      </w:r>
      <w:r w:rsidR="00E13F1E" w:rsidRPr="00AB56AD">
        <w:rPr>
          <w:rFonts w:ascii="Helvetica" w:eastAsia="Times New Roman" w:hAnsi="Helvetica" w:cs="Arial"/>
          <w:sz w:val="20"/>
          <w:szCs w:val="24"/>
          <w:lang w:eastAsia="lt-LT"/>
        </w:rPr>
        <w:t>r.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25</w:t>
      </w:r>
      <w:r w:rsidR="00E13F1E"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47-58 padėtys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, CDR2: SEQ ID N</w:t>
      </w:r>
      <w:r w:rsidR="00E13F1E" w:rsidRPr="00AB56AD">
        <w:rPr>
          <w:rFonts w:ascii="Helvetica" w:eastAsia="Times New Roman" w:hAnsi="Helvetica" w:cs="Arial"/>
          <w:sz w:val="20"/>
          <w:szCs w:val="24"/>
          <w:lang w:eastAsia="lt-LT"/>
        </w:rPr>
        <w:t>r.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25 76-78 padėtys, CDR3: SEQ ID N</w:t>
      </w:r>
      <w:r w:rsidR="00E13F1E" w:rsidRPr="00AB56AD">
        <w:rPr>
          <w:rFonts w:ascii="Helvetica" w:eastAsia="Times New Roman" w:hAnsi="Helvetica" w:cs="Arial"/>
          <w:sz w:val="20"/>
          <w:szCs w:val="24"/>
          <w:lang w:eastAsia="lt-LT"/>
        </w:rPr>
        <w:t>r.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25 115-122 padėtys,</w:t>
      </w:r>
    </w:p>
    <w:p w14:paraId="348C79B7" w14:textId="1AD83159" w:rsidR="000E4ADB" w:rsidRPr="00AB56AD" w:rsidRDefault="000E4ADB" w:rsidP="00AB56A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(v) VH: CDR1: SEQ ID Nr. 17 45-52 padėtys, CDR2: SEQ ID Nr. 17 70-77 padėtys, CDR3: SEQ ID Nr. 17 116-126 padėtys, VL: CDR1: SEQ ID N</w:t>
      </w:r>
      <w:r w:rsidR="00E13F1E"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r. 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24</w:t>
      </w:r>
      <w:r w:rsidR="004C662C"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E13F1E" w:rsidRPr="00AB56AD">
        <w:rPr>
          <w:rFonts w:ascii="Helvetica" w:eastAsia="Times New Roman" w:hAnsi="Helvetica" w:cs="Arial"/>
          <w:sz w:val="20"/>
          <w:szCs w:val="24"/>
          <w:lang w:eastAsia="lt-LT"/>
        </w:rPr>
        <w:t>47-58 padėtys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, CDR2: SEQ ID N</w:t>
      </w:r>
      <w:r w:rsidR="004C662C" w:rsidRPr="00AB56AD">
        <w:rPr>
          <w:rFonts w:ascii="Helvetica" w:eastAsia="Times New Roman" w:hAnsi="Helvetica" w:cs="Arial"/>
          <w:sz w:val="20"/>
          <w:szCs w:val="24"/>
          <w:lang w:eastAsia="lt-LT"/>
        </w:rPr>
        <w:t>r.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24 76-78 padėtys, CDR3: SEQ ID N</w:t>
      </w:r>
      <w:r w:rsidR="004C662C"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r. 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24 115-123 padėtys,</w:t>
      </w:r>
    </w:p>
    <w:p w14:paraId="0C264391" w14:textId="2CDCBD1E" w:rsidR="000E4ADB" w:rsidRPr="00AB56AD" w:rsidRDefault="000E4ADB" w:rsidP="00AB56A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(vi) VH: CDR1: SEQ ID Nr. 19 45-53 padėtys, CDR2: SEQ ID Nr. 19 71-78 padėtys, CDR3: SEQ ID Nr. 19 117-128 padėtys, VL: CDR1: SEQ ID N</w:t>
      </w:r>
      <w:r w:rsidR="004C662C" w:rsidRPr="00AB56AD">
        <w:rPr>
          <w:rFonts w:ascii="Helvetica" w:eastAsia="Times New Roman" w:hAnsi="Helvetica" w:cs="Arial"/>
          <w:sz w:val="20"/>
          <w:szCs w:val="24"/>
          <w:lang w:eastAsia="lt-LT"/>
        </w:rPr>
        <w:t>r.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23</w:t>
      </w:r>
      <w:r w:rsidR="004C662C"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47-58 padėtys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, CDR2: SEQ ID N</w:t>
      </w:r>
      <w:r w:rsidR="004C662C" w:rsidRPr="00AB56AD">
        <w:rPr>
          <w:rFonts w:ascii="Helvetica" w:eastAsia="Times New Roman" w:hAnsi="Helvetica" w:cs="Arial"/>
          <w:sz w:val="20"/>
          <w:szCs w:val="24"/>
          <w:lang w:eastAsia="lt-LT"/>
        </w:rPr>
        <w:t>r.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23 76-78 padėtys, CDR3: SEQ ID N</w:t>
      </w:r>
      <w:r w:rsidR="004C662C"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r. 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23 115-123 padėtys,</w:t>
      </w:r>
    </w:p>
    <w:p w14:paraId="32FABC3C" w14:textId="3BD298F7" w:rsidR="000E4ADB" w:rsidRPr="00AB56AD" w:rsidRDefault="000E4ADB" w:rsidP="00AB56A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(vii) VH: CDR1: SEQ ID Nr. 19 45-53 padėtys, CDR2: SEQ ID Nr. 19 71-78 padėtys, CDR3: SEQ ID Nr. 19 117-128 padėtys, VL: CDR1: SEQ ID N</w:t>
      </w:r>
      <w:r w:rsidR="004C662C"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r. 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26</w:t>
      </w:r>
      <w:r w:rsidR="004C662C"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47-58 padėtys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, CDR2: SEQ ID N</w:t>
      </w:r>
      <w:r w:rsidR="004C662C" w:rsidRPr="00AB56AD">
        <w:rPr>
          <w:rFonts w:ascii="Helvetica" w:eastAsia="Times New Roman" w:hAnsi="Helvetica" w:cs="Arial"/>
          <w:sz w:val="20"/>
          <w:szCs w:val="24"/>
          <w:lang w:eastAsia="lt-LT"/>
        </w:rPr>
        <w:t>r.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26 76-78 padėtys, CDR3: SEQ ID N</w:t>
      </w:r>
      <w:r w:rsidR="004C662C" w:rsidRPr="00AB56AD">
        <w:rPr>
          <w:rFonts w:ascii="Helvetica" w:eastAsia="Times New Roman" w:hAnsi="Helvetica" w:cs="Arial"/>
          <w:sz w:val="20"/>
          <w:szCs w:val="24"/>
          <w:lang w:eastAsia="lt-LT"/>
        </w:rPr>
        <w:t>r.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26 115-123 padėtys,</w:t>
      </w:r>
    </w:p>
    <w:p w14:paraId="58142A3A" w14:textId="7EDA0F00" w:rsidR="000E4ADB" w:rsidRPr="00AB56AD" w:rsidRDefault="000E4ADB" w:rsidP="00AB56A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(viii) VH: CDR1: SEQ ID Nr. 19 45-53 padėtys, CDR2: SEQ ID Nr. 19 71-78 padėtys, CDR3: SEQ ID Nr. 19 117-128 padėtys, VL: CDR1: SEQ ID Nr. 27 </w:t>
      </w:r>
      <w:r w:rsidR="004C662C" w:rsidRPr="00AB56AD">
        <w:rPr>
          <w:rFonts w:ascii="Helvetica" w:eastAsia="Times New Roman" w:hAnsi="Helvetica" w:cs="Arial"/>
          <w:sz w:val="20"/>
          <w:szCs w:val="24"/>
          <w:lang w:eastAsia="lt-LT"/>
        </w:rPr>
        <w:t>47-58 padėtys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, CDR2: SEQ ID Nr.</w:t>
      </w:r>
      <w:r w:rsidR="004C662C"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27 76-78 padėtys, CDR3: SEQ ID Nr.</w:t>
      </w:r>
      <w:r w:rsidR="00DB37B9"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27 115-123 padėtys ir</w:t>
      </w:r>
    </w:p>
    <w:p w14:paraId="18A4EA82" w14:textId="5236F7AE" w:rsidR="000E4ADB" w:rsidRPr="00AB56AD" w:rsidRDefault="000E4ADB" w:rsidP="00AB56A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(ix) VH: CDR1: SEQ ID Nr. 19 45-53 padėtys, CDR2: SEQ ID Nr. 19 71-78 padėtys, CDR3: SEQ ID Nr. 19 117-128 padėtys, VL: CDR1: SEQ ID N</w:t>
      </w:r>
      <w:r w:rsidR="00DB37B9" w:rsidRPr="00AB56AD">
        <w:rPr>
          <w:rFonts w:ascii="Helvetica" w:eastAsia="Times New Roman" w:hAnsi="Helvetica" w:cs="Arial"/>
          <w:sz w:val="20"/>
          <w:szCs w:val="24"/>
          <w:lang w:eastAsia="lt-LT"/>
        </w:rPr>
        <w:t>r.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28 </w:t>
      </w:r>
      <w:r w:rsidR="00DB37B9" w:rsidRPr="00AB56AD">
        <w:rPr>
          <w:rFonts w:ascii="Helvetica" w:eastAsia="Times New Roman" w:hAnsi="Helvetica" w:cs="Arial"/>
          <w:sz w:val="20"/>
          <w:szCs w:val="24"/>
          <w:lang w:eastAsia="lt-LT"/>
        </w:rPr>
        <w:t>47-52 padėtys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, CDR2: SEQ ID Nr. 28 70-72 padėtys, CDR3: SEQ ID Nr. 28 109-117 padėtys</w:t>
      </w:r>
      <w:r w:rsidR="00DB37B9" w:rsidRPr="00AB56AD">
        <w:rPr>
          <w:rFonts w:ascii="Helvetica" w:eastAsia="Times New Roman" w:hAnsi="Helvetica" w:cs="Arial"/>
          <w:sz w:val="20"/>
          <w:szCs w:val="24"/>
          <w:lang w:eastAsia="lt-LT"/>
        </w:rPr>
        <w:t>.</w:t>
      </w:r>
    </w:p>
    <w:p w14:paraId="21C8AD72" w14:textId="77777777" w:rsidR="00AB56AD" w:rsidRPr="00AB56AD" w:rsidRDefault="00AB56AD" w:rsidP="00AB56A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0ACAB9C7" w14:textId="2AB2C316" w:rsidR="00DB37B9" w:rsidRPr="00AB56AD" w:rsidRDefault="000E4ADB" w:rsidP="00AB56AD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7.</w:t>
      </w:r>
      <w:r w:rsidR="00A534FE"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Farmacinė kompozicija, skirta naudoti pagal 6 punktą, arba agentas, skirtas naudoti </w:t>
      </w:r>
      <w:r w:rsidR="00DB37B9" w:rsidRPr="00AB56AD">
        <w:rPr>
          <w:rFonts w:ascii="Helvetica" w:eastAsia="Times New Roman" w:hAnsi="Helvetica" w:cs="Arial"/>
          <w:sz w:val="20"/>
          <w:szCs w:val="24"/>
          <w:lang w:eastAsia="lt-LT"/>
        </w:rPr>
        <w:t>pagal 6 punktą, kur modifikacija apima 1-5 pakeitimus CDR</w:t>
      </w:r>
      <w:r w:rsidR="00D64865"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srity</w:t>
      </w:r>
      <w:r w:rsidR="00D809B0" w:rsidRPr="00AB56AD">
        <w:rPr>
          <w:rFonts w:ascii="Helvetica" w:eastAsia="Times New Roman" w:hAnsi="Helvetica" w:cs="Arial"/>
          <w:sz w:val="20"/>
          <w:szCs w:val="24"/>
          <w:lang w:eastAsia="lt-LT"/>
        </w:rPr>
        <w:t>se</w:t>
      </w:r>
      <w:r w:rsidR="00DB37B9" w:rsidRPr="00AB56AD">
        <w:rPr>
          <w:rFonts w:ascii="Helvetica" w:eastAsia="Times New Roman" w:hAnsi="Helvetica" w:cs="Arial"/>
          <w:sz w:val="20"/>
          <w:szCs w:val="24"/>
          <w:lang w:eastAsia="lt-LT"/>
        </w:rPr>
        <w:t>.</w:t>
      </w:r>
    </w:p>
    <w:p w14:paraId="26F2E036" w14:textId="77777777" w:rsidR="00AB56AD" w:rsidRPr="00AB56AD" w:rsidRDefault="00AB56AD" w:rsidP="00AB56AD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7846043E" w14:textId="22F0A32E" w:rsidR="000E4ADB" w:rsidRPr="00AB56AD" w:rsidRDefault="000E4ADB" w:rsidP="00AB56AD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8.</w:t>
      </w:r>
      <w:r w:rsidR="00A534FE"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Farmacinė kompozicija, skirta naudoti pagal bet kurį iš 1 ir 3-6 punktų, arba agentas, skirtas naudoti pagal bet kurį iš 2-6 punktų, kur minėtas antikūnas geb</w:t>
      </w:r>
      <w:r w:rsidR="00516F68" w:rsidRPr="00AB56AD">
        <w:rPr>
          <w:rFonts w:ascii="Helvetica" w:eastAsia="Times New Roman" w:hAnsi="Helvetica" w:cs="Arial"/>
          <w:sz w:val="20"/>
          <w:szCs w:val="24"/>
          <w:lang w:eastAsia="lt-LT"/>
        </w:rPr>
        <w:t>antis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prisijungti prie CLDN18.2 ir tarpininkauti </w:t>
      </w:r>
      <w:r w:rsidR="00516F68" w:rsidRPr="00AB56AD">
        <w:rPr>
          <w:rFonts w:ascii="Helvetica" w:eastAsia="Times New Roman" w:hAnsi="Helvetica" w:cs="Arial"/>
          <w:sz w:val="20"/>
          <w:szCs w:val="24"/>
          <w:lang w:eastAsia="lt-LT"/>
        </w:rPr>
        <w:t>sunaikinant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ląsteles, </w:t>
      </w:r>
      <w:r w:rsidR="00516F68"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vykdančias 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CLDN18.2</w:t>
      </w:r>
      <w:r w:rsidR="00516F68"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raišką,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ADCC </w:t>
      </w:r>
      <w:r w:rsidR="0051592F" w:rsidRPr="00AB56AD">
        <w:rPr>
          <w:rFonts w:ascii="Helvetica" w:eastAsia="Times New Roman" w:hAnsi="Helvetica" w:cs="Arial"/>
          <w:sz w:val="20"/>
          <w:szCs w:val="24"/>
          <w:lang w:eastAsia="lt-LT"/>
        </w:rPr>
        <w:t>ir (arba)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CDC</w:t>
      </w:r>
      <w:r w:rsidR="00516F68"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dėka,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apima</w:t>
      </w:r>
      <w:r w:rsidR="00516F68"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derinį iš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sunkiosios grandinės kintamos srities (VH) ir lengvosios grandinės kintamos srities (VL), parinktą iš šių (i)–(ix) gali</w:t>
      </w:r>
      <w:r w:rsidR="006D3BDC" w:rsidRPr="00AB56AD">
        <w:rPr>
          <w:rFonts w:ascii="Helvetica" w:eastAsia="Times New Roman" w:hAnsi="Helvetica" w:cs="Arial"/>
          <w:sz w:val="20"/>
          <w:szCs w:val="24"/>
          <w:lang w:eastAsia="lt-LT"/>
        </w:rPr>
        <w:t>mų variantų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:</w:t>
      </w:r>
    </w:p>
    <w:p w14:paraId="311DA6C0" w14:textId="1D3D07EB" w:rsidR="000E4ADB" w:rsidRPr="00AB56AD" w:rsidRDefault="000E4ADB" w:rsidP="00AB56A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(i) VH apim</w:t>
      </w:r>
      <w:r w:rsidR="006D3BDC" w:rsidRPr="00AB56AD">
        <w:rPr>
          <w:rFonts w:ascii="Helvetica" w:eastAsia="Times New Roman" w:hAnsi="Helvetica" w:cs="Arial"/>
          <w:sz w:val="20"/>
          <w:szCs w:val="24"/>
          <w:lang w:eastAsia="lt-LT"/>
        </w:rPr>
        <w:t>a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aminorūgščių seką, pavaizduotą SEQ ID Nr. 29, arba jos fragmentą,</w:t>
      </w:r>
      <w:r w:rsidR="005448FA"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ir 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VL apima aminorūgščių seką, pavaizduotą SEQ ID Nr. 36 arba jos fragmentą,</w:t>
      </w:r>
    </w:p>
    <w:p w14:paraId="5992E0B3" w14:textId="49659158" w:rsidR="000E4ADB" w:rsidRPr="00AB56AD" w:rsidRDefault="000E4ADB" w:rsidP="00AB56A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(ii) VH apima aminorūgščių seką, pavaizduotą SEQ ID Nr. 30, arba jos fragmentą,</w:t>
      </w:r>
      <w:r w:rsidR="005448FA"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ir 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VL apima aminorūgščių seką, pavaizduotą SEQ ID Nr. 35 arba jos fragmentą,</w:t>
      </w:r>
    </w:p>
    <w:p w14:paraId="72C321C5" w14:textId="5885C80A" w:rsidR="000E4ADB" w:rsidRPr="00AB56AD" w:rsidRDefault="000E4ADB" w:rsidP="00AB56A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(iii) VH apima aminorūgščių seką, pavaizduotą SEQ ID Nr. 31, arba jos fragmentą,</w:t>
      </w:r>
      <w:r w:rsidR="005448FA"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ir 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VL apima aminorūgščių seką, pavaizduotą SEQ ID Nr. 37 arba jos fragmentą,</w:t>
      </w:r>
    </w:p>
    <w:p w14:paraId="42F36E3D" w14:textId="1F581721" w:rsidR="000E4ADB" w:rsidRPr="00AB56AD" w:rsidRDefault="000E4ADB" w:rsidP="00AB56A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(iv) VH apima aminorūgščių seką, pavaizduotą SEQ ID Nr. 33, arba jos fragmentą,</w:t>
      </w:r>
      <w:r w:rsidR="005448FA"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ir 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VL apima aminorūgščių seką, pavaizduotą SEQ ID Nr. 40 arba jos fragmentą;</w:t>
      </w:r>
    </w:p>
    <w:p w14:paraId="0FD8F4C0" w14:textId="117C0B42" w:rsidR="000E4ADB" w:rsidRPr="00AB56AD" w:rsidRDefault="000E4ADB" w:rsidP="00AB56A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(v) VH apima aminorūgščių seką, pavaizduotą SEQ ID Nr. 32, arba jos fragmentą,</w:t>
      </w:r>
      <w:r w:rsidR="005448FA"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ir 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VL apima aminorūgščių seką, pavaizduotą SEQ ID Nr. 39, arba jos fragmentą;</w:t>
      </w:r>
    </w:p>
    <w:p w14:paraId="11323462" w14:textId="5EC89447" w:rsidR="000E4ADB" w:rsidRPr="00AB56AD" w:rsidRDefault="000E4ADB" w:rsidP="00AB56A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lastRenderedPageBreak/>
        <w:t>(vi) VH apima aminorūgščių seką, pavaizduotą SEQ ID Nr. 34, arba jos fragmentą,</w:t>
      </w:r>
      <w:r w:rsidR="005448FA"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ir 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VL apima aminorūgščių seką, pavaizduotą SEQ ID Nr. 38, arba jos fragmentą;</w:t>
      </w:r>
    </w:p>
    <w:p w14:paraId="4E1043C8" w14:textId="4FED5590" w:rsidR="000E4ADB" w:rsidRPr="00AB56AD" w:rsidRDefault="000E4ADB" w:rsidP="00AB56A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(vii) VH apima aminorūgščių seką, pavaizduotą SEQ ID Nr. 34, arba jos fragmentą,</w:t>
      </w:r>
      <w:r w:rsidR="005448FA"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ir 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VL apima aminorūgščių seką, pavaizduotą SEQ ID Nr. 41 arba jos fragmentą,</w:t>
      </w:r>
    </w:p>
    <w:p w14:paraId="610521A0" w14:textId="5EF8531F" w:rsidR="000E4ADB" w:rsidRPr="00AB56AD" w:rsidRDefault="000E4ADB" w:rsidP="00AB56A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(viii) VH apima aminorūgščių seką, pavaizduotą SEQ ID Nr. 34, arba jos fragmentą,</w:t>
      </w:r>
      <w:r w:rsidR="005448FA"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ir 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VL apima aminorūgščių seką, pavaizduotą SEQ ID Nr. 42 arba jos fragmentą, ir</w:t>
      </w:r>
    </w:p>
    <w:p w14:paraId="1CE7EC64" w14:textId="4E903A74" w:rsidR="000E4ADB" w:rsidRPr="00AB56AD" w:rsidRDefault="000E4ADB" w:rsidP="00AB56A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(ix) VH apima aminorūgščių seką, pavaizduotą SEQ ID Nr. 34, arba jos fragmentą,</w:t>
      </w:r>
      <w:r w:rsidR="005448FA"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ir 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VL apima aminorūgščių seką, pavaizduotą SEQ ID Nr. 43, arba jos fragmentą.</w:t>
      </w:r>
    </w:p>
    <w:p w14:paraId="0E1F4EE2" w14:textId="77777777" w:rsidR="00AB56AD" w:rsidRPr="00AB56AD" w:rsidRDefault="00AB56AD" w:rsidP="00AB56A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0FD97E5C" w14:textId="22218356" w:rsidR="00002A72" w:rsidRPr="00AB56AD" w:rsidRDefault="000E4ADB" w:rsidP="00AB56AD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9.</w:t>
      </w:r>
      <w:r w:rsidR="00A534FE"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Farmacinė kompozicija, skirta naudoti pagal bet kurį iš 1 ir 3-6 punktų, arba agentas, skirtas naudoti pagal bet kurį iš 2-6 punktų, kur minėtas </w:t>
      </w:r>
      <w:r w:rsidR="00002A72"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antikūnas gebantis prisijungti prie CLDN18.2 ir tarpininkauti sunaikinant ląsteles, vykdančias CLDN18.2 raišką, ADCC </w:t>
      </w:r>
      <w:r w:rsidR="0051592F" w:rsidRPr="00AB56AD">
        <w:rPr>
          <w:rFonts w:ascii="Helvetica" w:eastAsia="Times New Roman" w:hAnsi="Helvetica" w:cs="Arial"/>
          <w:sz w:val="20"/>
          <w:szCs w:val="24"/>
          <w:lang w:eastAsia="lt-LT"/>
        </w:rPr>
        <w:t>ir (arba)</w:t>
      </w:r>
      <w:r w:rsidR="00002A72"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CDC dėka, apima derinį iš sunkiųjų grandinių ir lengvųjų grandinių, parinktą iš šių (i)–(ix) galimų variantų:</w:t>
      </w:r>
    </w:p>
    <w:p w14:paraId="08A4F2A4" w14:textId="30988E15" w:rsidR="000E4ADB" w:rsidRPr="00AB56AD" w:rsidRDefault="000E4ADB" w:rsidP="00AB56A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(i) sunkioji grandinė apima aminorūgščių seką, pavaizduotą SEQ ID Nr. 14, arba jos fragmentą,</w:t>
      </w:r>
      <w:r w:rsidR="005448FA"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ir 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lengvoji grandinė apima aminorūgščių seką, pavaizduotą SEQ ID Nr. 21, arba jos fragmentą;</w:t>
      </w:r>
    </w:p>
    <w:p w14:paraId="3AFD3267" w14:textId="678F9B63" w:rsidR="000E4ADB" w:rsidRPr="00AB56AD" w:rsidRDefault="000E4ADB" w:rsidP="00AB56A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(ii) sunkioji grandinė apima aminorūgščių seką, pavaizduotą SEQ ID Nr. 15, arba jos fragmentą,</w:t>
      </w:r>
      <w:r w:rsidR="005448FA"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ir 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lengvoji grandinė apima aminorūgščių seką, pavaizduotą SEQ ID Nr. 20, arba jos fragmentą;</w:t>
      </w:r>
    </w:p>
    <w:p w14:paraId="1E83756F" w14:textId="0B49040D" w:rsidR="000E4ADB" w:rsidRPr="00AB56AD" w:rsidRDefault="000E4ADB" w:rsidP="00AB56A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(iii) sunkioji grandinė apima aminorūgščių seką, pavaizduotą SEQ ID Nr. 16, arba jos fragmentą,</w:t>
      </w:r>
      <w:r w:rsidR="005448FA"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ir 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lengvoji grandinė apima aminorūgščių seką, pavaizduotą SEQ ID Nr. 22, arba jos fragmentą,</w:t>
      </w:r>
    </w:p>
    <w:p w14:paraId="343CD8E6" w14:textId="0B2D2D75" w:rsidR="000E4ADB" w:rsidRPr="00AB56AD" w:rsidRDefault="000E4ADB" w:rsidP="00AB56A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(iv) sunkioji grandinė apima aminorūgščių seką, pavaizduotą SEQ ID Nr. 18, arba jos fragmentą,</w:t>
      </w:r>
      <w:r w:rsidR="005448FA"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ir 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lengvoji grandinė apima aminorūgščių seką, pavaizduotą SEQ ID Nr. 25, arba jos fragmentą;</w:t>
      </w:r>
    </w:p>
    <w:p w14:paraId="1D59C487" w14:textId="5F35A6F6" w:rsidR="000E4ADB" w:rsidRPr="00AB56AD" w:rsidRDefault="000E4ADB" w:rsidP="00AB56A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(v) sunkioji grandinė apima aminorūgščių seką, pavaizduotą SEQ ID Nr. 17, arba jos fragmentą,</w:t>
      </w:r>
      <w:r w:rsidR="005448FA"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ir 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lengvoji grandinė apima aminorūgščių seką, pavaizduotą SEQ ID Nr. 24, arba jos fragmentą;</w:t>
      </w:r>
    </w:p>
    <w:p w14:paraId="17D521C6" w14:textId="285313D2" w:rsidR="000E4ADB" w:rsidRPr="00AB56AD" w:rsidRDefault="000E4ADB" w:rsidP="00AB56A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(vi) sunkioji grandinė apima aminorūgščių seką, pavaizduotą SEQ ID Nr. 19, arba jos fragmentą,</w:t>
      </w:r>
      <w:r w:rsidR="005448FA"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ir 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lengvoji grandinė apima aminorūgščių seką, pavaizduotą SEQ ID Nr. 23, arba jos fragmentą;</w:t>
      </w:r>
    </w:p>
    <w:p w14:paraId="667D5B48" w14:textId="162C1AB6" w:rsidR="000E4ADB" w:rsidRPr="00AB56AD" w:rsidRDefault="000E4ADB" w:rsidP="00AB56A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(vii) sunkioji grandinė apima aminorūgščių seką, pavaizduotą SEQ ID Nr. 19, arba jos fragmentą,</w:t>
      </w:r>
      <w:r w:rsidR="005448FA"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ir 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lengvoji grandinė apima aminorūgščių seką, pavaizduotą SEQ ID Nr. 26, arba jos fragmentą;</w:t>
      </w:r>
    </w:p>
    <w:p w14:paraId="7223B564" w14:textId="35096D2B" w:rsidR="000E4ADB" w:rsidRPr="00AB56AD" w:rsidRDefault="000E4ADB" w:rsidP="00AB56A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(viii) sunkioji grandinė apima aminorūgščių seką, pavaizduotą SEQ ID Nr. 19, arba jos fragmentą,</w:t>
      </w:r>
      <w:r w:rsidR="005448FA"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ir 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lengvoji grandinė apima aminorūgščių seką, pavaizduotą SEQ ID Nr. 27 arba jos fragmentą, ir</w:t>
      </w:r>
    </w:p>
    <w:p w14:paraId="548BEC4C" w14:textId="45ADD52D" w:rsidR="00002A72" w:rsidRPr="00AB56AD" w:rsidRDefault="000E4ADB" w:rsidP="00AB56A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(ix) sunkioji grandinė apima aminorūgščių seką, pavaizduotą SEQ ID Nr. 19, arba jos fragmentą,</w:t>
      </w:r>
      <w:r w:rsidR="005448FA"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ir 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lengvoji grandinė apima aminorūgščių seką, pavaizduotą</w:t>
      </w:r>
      <w:r w:rsidR="00002A72" w:rsidRPr="00AB56AD">
        <w:rPr>
          <w:rFonts w:ascii="Helvetica" w:hAnsi="Helvetica"/>
          <w:sz w:val="20"/>
        </w:rPr>
        <w:t xml:space="preserve"> </w:t>
      </w:r>
      <w:r w:rsidR="00002A72" w:rsidRPr="00AB56AD">
        <w:rPr>
          <w:rFonts w:ascii="Helvetica" w:eastAsia="Times New Roman" w:hAnsi="Helvetica" w:cs="Arial"/>
          <w:sz w:val="20"/>
          <w:szCs w:val="24"/>
          <w:lang w:eastAsia="lt-LT"/>
        </w:rPr>
        <w:t>SEQ ID Nr. 28, arba jos fragmentą.</w:t>
      </w:r>
    </w:p>
    <w:p w14:paraId="1F1096BE" w14:textId="34EF5457" w:rsidR="000E4ADB" w:rsidRPr="00AB56AD" w:rsidRDefault="000E4ADB" w:rsidP="00AB56AD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052DCF3B" w14:textId="29E701A4" w:rsidR="007C0D9D" w:rsidRPr="00AB56AD" w:rsidRDefault="000E4ADB" w:rsidP="00AB56AD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10.</w:t>
      </w:r>
      <w:r w:rsidR="00A534FE"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Farmacinė kompozicija, skirta naudoti pagal bet kurį iš 1 ir 3-9 punktų, arba agentas, skirtas naudoti pagal bet kurį iš 2-9 punktų, kur vėžys yra </w:t>
      </w:r>
      <w:proofErr w:type="spellStart"/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>adenokarcinoma</w:t>
      </w:r>
      <w:proofErr w:type="spellEnd"/>
      <w:r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r w:rsidR="007C0D9D" w:rsidRPr="00AB56AD">
        <w:rPr>
          <w:rFonts w:ascii="Helvetica" w:eastAsia="Times New Roman" w:hAnsi="Helvetica" w:cs="Arial"/>
          <w:sz w:val="20"/>
          <w:szCs w:val="24"/>
          <w:lang w:eastAsia="lt-LT"/>
        </w:rPr>
        <w:t xml:space="preserve">ypač pažengusi </w:t>
      </w:r>
      <w:proofErr w:type="spellStart"/>
      <w:r w:rsidR="007C0D9D" w:rsidRPr="00AB56AD">
        <w:rPr>
          <w:rFonts w:ascii="Helvetica" w:eastAsia="Times New Roman" w:hAnsi="Helvetica" w:cs="Arial"/>
          <w:sz w:val="20"/>
          <w:szCs w:val="24"/>
          <w:lang w:eastAsia="lt-LT"/>
        </w:rPr>
        <w:t>adenokarcinoma</w:t>
      </w:r>
      <w:proofErr w:type="spellEnd"/>
      <w:r w:rsidR="007C0D9D" w:rsidRPr="00AB56AD">
        <w:rPr>
          <w:rFonts w:ascii="Helvetica" w:eastAsia="Times New Roman" w:hAnsi="Helvetica" w:cs="Arial"/>
          <w:sz w:val="20"/>
          <w:szCs w:val="24"/>
          <w:lang w:eastAsia="lt-LT"/>
        </w:rPr>
        <w:t>.</w:t>
      </w:r>
    </w:p>
    <w:sectPr w:rsidR="007C0D9D" w:rsidRPr="00AB56AD" w:rsidSect="00AB56AD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74FD0" w14:textId="77777777" w:rsidR="005C6B46" w:rsidRDefault="005C6B46" w:rsidP="009E7882">
      <w:pPr>
        <w:spacing w:after="0" w:line="240" w:lineRule="auto"/>
      </w:pPr>
      <w:r>
        <w:separator/>
      </w:r>
    </w:p>
  </w:endnote>
  <w:endnote w:type="continuationSeparator" w:id="0">
    <w:p w14:paraId="0F3911DA" w14:textId="77777777" w:rsidR="005C6B46" w:rsidRDefault="005C6B46" w:rsidP="009E7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E7345" w14:textId="77777777" w:rsidR="005C6B46" w:rsidRDefault="005C6B46" w:rsidP="009E7882">
      <w:pPr>
        <w:spacing w:after="0" w:line="240" w:lineRule="auto"/>
      </w:pPr>
      <w:r>
        <w:separator/>
      </w:r>
    </w:p>
  </w:footnote>
  <w:footnote w:type="continuationSeparator" w:id="0">
    <w:p w14:paraId="04D0FBE5" w14:textId="77777777" w:rsidR="005C6B46" w:rsidRDefault="005C6B46" w:rsidP="009E78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ADB"/>
    <w:rsid w:val="00002A72"/>
    <w:rsid w:val="000E4ADB"/>
    <w:rsid w:val="000F0E61"/>
    <w:rsid w:val="001743F6"/>
    <w:rsid w:val="001D7380"/>
    <w:rsid w:val="0021519D"/>
    <w:rsid w:val="002614F9"/>
    <w:rsid w:val="002F721D"/>
    <w:rsid w:val="00340B25"/>
    <w:rsid w:val="003F2414"/>
    <w:rsid w:val="004C6340"/>
    <w:rsid w:val="004C662C"/>
    <w:rsid w:val="0051592F"/>
    <w:rsid w:val="00515EE3"/>
    <w:rsid w:val="00516F68"/>
    <w:rsid w:val="005448FA"/>
    <w:rsid w:val="005744AF"/>
    <w:rsid w:val="005B11F5"/>
    <w:rsid w:val="005C6B46"/>
    <w:rsid w:val="005E3C99"/>
    <w:rsid w:val="00603AD1"/>
    <w:rsid w:val="006160E3"/>
    <w:rsid w:val="00617D54"/>
    <w:rsid w:val="006B4331"/>
    <w:rsid w:val="006D3BDC"/>
    <w:rsid w:val="00741971"/>
    <w:rsid w:val="00774DDB"/>
    <w:rsid w:val="007A08FD"/>
    <w:rsid w:val="007B675E"/>
    <w:rsid w:val="007C0D9D"/>
    <w:rsid w:val="00891B12"/>
    <w:rsid w:val="008A6BF8"/>
    <w:rsid w:val="008B01A1"/>
    <w:rsid w:val="00974773"/>
    <w:rsid w:val="009C0455"/>
    <w:rsid w:val="009E7882"/>
    <w:rsid w:val="00A534FE"/>
    <w:rsid w:val="00AB56AD"/>
    <w:rsid w:val="00B00DDB"/>
    <w:rsid w:val="00B07869"/>
    <w:rsid w:val="00BC2903"/>
    <w:rsid w:val="00BD645E"/>
    <w:rsid w:val="00BF15F8"/>
    <w:rsid w:val="00CF290B"/>
    <w:rsid w:val="00D62444"/>
    <w:rsid w:val="00D64865"/>
    <w:rsid w:val="00D809B0"/>
    <w:rsid w:val="00D87950"/>
    <w:rsid w:val="00DB37B9"/>
    <w:rsid w:val="00DB66BE"/>
    <w:rsid w:val="00DC684C"/>
    <w:rsid w:val="00DD7D0D"/>
    <w:rsid w:val="00DE5679"/>
    <w:rsid w:val="00E13F1E"/>
    <w:rsid w:val="00E14741"/>
    <w:rsid w:val="00E33F23"/>
    <w:rsid w:val="00F30F32"/>
    <w:rsid w:val="00F5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7F3F5"/>
  <w15:chartTrackingRefBased/>
  <w15:docId w15:val="{51750552-D1AF-4CCC-96D9-2E5B83735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40B25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9E78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E7882"/>
  </w:style>
  <w:style w:type="paragraph" w:styleId="Porat">
    <w:name w:val="footer"/>
    <w:basedOn w:val="prastasis"/>
    <w:link w:val="PoratDiagrama"/>
    <w:uiPriority w:val="99"/>
    <w:unhideWhenUsed/>
    <w:rsid w:val="009E78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E7882"/>
  </w:style>
  <w:style w:type="paragraph" w:styleId="Pataisymai">
    <w:name w:val="Revision"/>
    <w:hidden/>
    <w:uiPriority w:val="99"/>
    <w:semiHidden/>
    <w:rsid w:val="00F535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9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35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44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4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6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06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2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1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8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6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2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1538</Words>
  <Characters>8367</Characters>
  <Application>Microsoft Office Word</Application>
  <DocSecurity>0</DocSecurity>
  <Lines>123</Lines>
  <Paragraphs>45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Rasa Gurčytė</cp:lastModifiedBy>
  <cp:revision>4</cp:revision>
  <dcterms:created xsi:type="dcterms:W3CDTF">2022-07-15T06:10:00Z</dcterms:created>
  <dcterms:modified xsi:type="dcterms:W3CDTF">2022-07-19T11:31:00Z</dcterms:modified>
</cp:coreProperties>
</file>