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2438E" w14:textId="77777777" w:rsidR="005D75C9" w:rsidRPr="00567343" w:rsidRDefault="005D75C9" w:rsidP="00567343">
      <w:pPr>
        <w:spacing w:after="0" w:line="360" w:lineRule="auto"/>
        <w:ind w:firstLine="567"/>
        <w:jc w:val="both"/>
        <w:rPr>
          <w:rFonts w:ascii="Helvetica" w:hAnsi="Helvetica" w:cs="Arial"/>
          <w:sz w:val="20"/>
          <w:szCs w:val="24"/>
        </w:rPr>
      </w:pPr>
      <w:r w:rsidRPr="00567343">
        <w:rPr>
          <w:rFonts w:ascii="Helvetica" w:hAnsi="Helvetica" w:cs="Arial"/>
          <w:sz w:val="20"/>
          <w:szCs w:val="24"/>
        </w:rPr>
        <w:t>1. Į naviką įsiskverbiančių limfocitų (TIL) padauginimo iki terapinės TIL populiacijos būdas, apimantis:</w:t>
      </w:r>
    </w:p>
    <w:p w14:paraId="77569AF7" w14:textId="77777777" w:rsidR="005D75C9" w:rsidRPr="00567343" w:rsidRDefault="005D75C9" w:rsidP="00567343">
      <w:pPr>
        <w:spacing w:after="0" w:line="360" w:lineRule="auto"/>
        <w:jc w:val="both"/>
        <w:rPr>
          <w:rFonts w:ascii="Helvetica" w:hAnsi="Helvetica" w:cs="Arial"/>
          <w:sz w:val="20"/>
          <w:szCs w:val="24"/>
        </w:rPr>
      </w:pPr>
      <w:r w:rsidRPr="00567343">
        <w:rPr>
          <w:rFonts w:ascii="Helvetica" w:hAnsi="Helvetica" w:cs="Arial"/>
          <w:sz w:val="20"/>
          <w:szCs w:val="24"/>
        </w:rPr>
        <w:t>(a) apdorotų naviko fragmentų, apimančių pirmąją TIL populiaciją iš naviko, pašalinto iš paciento, įdėjimą į uždarą sistemą;</w:t>
      </w:r>
    </w:p>
    <w:p w14:paraId="5083E3A6" w14:textId="77777777" w:rsidR="005D75C9" w:rsidRPr="00567343" w:rsidRDefault="005D75C9" w:rsidP="00567343">
      <w:pPr>
        <w:spacing w:after="0" w:line="360" w:lineRule="auto"/>
        <w:jc w:val="both"/>
        <w:rPr>
          <w:rFonts w:ascii="Helvetica" w:hAnsi="Helvetica" w:cs="Arial"/>
          <w:sz w:val="20"/>
          <w:szCs w:val="24"/>
        </w:rPr>
      </w:pPr>
      <w:r w:rsidRPr="00567343">
        <w:rPr>
          <w:rFonts w:ascii="Helvetica" w:hAnsi="Helvetica" w:cs="Arial"/>
          <w:sz w:val="20"/>
          <w:szCs w:val="24"/>
        </w:rPr>
        <w:t>(b) pirmąjį padauginimą, kultivuojant pirmąją TIL populiaciją ląstelių kultūros terpėje, apimančioje IL-2 tam, kad būtu gauta antroji TIL populiacija, kur pirmasis padauginimas atliekamas uždaroje talpoje, sukuriant pirmąjį dujoms pralaidų paviršiaus plotą, kur pirmasis padauginimas atliekamas 3-11 dienų tam, kad būtu gauta antroji TIL populiacija, kur antrosios TIL populiacijos skaičius yra bent 50 kartų didesnis už pirmosios TIL populiacijos, ir kur perėjimas iš pakopos (a) į pakopą (b) vyksta neatidarant sistemos;</w:t>
      </w:r>
    </w:p>
    <w:p w14:paraId="6EC14320" w14:textId="77777777" w:rsidR="005D75C9" w:rsidRPr="00567343" w:rsidRDefault="005D75C9" w:rsidP="00567343">
      <w:pPr>
        <w:spacing w:after="0" w:line="360" w:lineRule="auto"/>
        <w:jc w:val="both"/>
        <w:rPr>
          <w:rFonts w:ascii="Helvetica" w:hAnsi="Helvetica" w:cs="Arial"/>
          <w:sz w:val="20"/>
          <w:szCs w:val="24"/>
        </w:rPr>
      </w:pPr>
      <w:r w:rsidRPr="00567343">
        <w:rPr>
          <w:rFonts w:ascii="Helvetica" w:hAnsi="Helvetica" w:cs="Arial"/>
          <w:sz w:val="20"/>
          <w:szCs w:val="24"/>
        </w:rPr>
        <w:t>(c) antrąjį padauginimą, papildant antrosios TIL populiacijos ląstelių kultūros terpę papildomais IL-2, OKT-3 ir antigeną pateikiančiomis ląstelėmis (APC) tam, kad būtu gauta trečioji TIL populiacija, kur antrasis padauginimas atliekamas 7-11 dienų tam, kad būtu gauta trečioji TIL populiacija, kur trečioji TIL populiacija yra terapinė TIL populiacija, kur antrasis padauginimas atliekamas uždaroje talpoje, sukuriant antrąjį dujoms pralaidų paviršiaus plotą, ir kur perėjimas iš pakopos (b) į pakopą (c) vyksta neatidarant sistemos;</w:t>
      </w:r>
    </w:p>
    <w:p w14:paraId="07390B14" w14:textId="77777777" w:rsidR="005D75C9" w:rsidRPr="00567343" w:rsidRDefault="005D75C9" w:rsidP="00567343">
      <w:pPr>
        <w:spacing w:after="0" w:line="360" w:lineRule="auto"/>
        <w:jc w:val="both"/>
        <w:rPr>
          <w:rFonts w:ascii="Helvetica" w:hAnsi="Helvetica" w:cs="Arial"/>
          <w:sz w:val="20"/>
          <w:szCs w:val="24"/>
        </w:rPr>
      </w:pPr>
      <w:r w:rsidRPr="00567343">
        <w:rPr>
          <w:rFonts w:ascii="Helvetica" w:hAnsi="Helvetica" w:cs="Arial"/>
          <w:sz w:val="20"/>
          <w:szCs w:val="24"/>
        </w:rPr>
        <w:t>(d) trečiosios TIL populiacijos, gautos pakopoje (c), surinkimą, kur perėjimas iš pakopos (c) į pakopą (d) vyksta neatidarant sistemos;</w:t>
      </w:r>
    </w:p>
    <w:p w14:paraId="326AB9D6" w14:textId="77777777" w:rsidR="005D75C9" w:rsidRPr="00567343" w:rsidRDefault="005D75C9" w:rsidP="00567343">
      <w:pPr>
        <w:spacing w:after="0" w:line="360" w:lineRule="auto"/>
        <w:jc w:val="both"/>
        <w:rPr>
          <w:rFonts w:ascii="Helvetica" w:hAnsi="Helvetica" w:cs="Arial"/>
          <w:sz w:val="20"/>
          <w:szCs w:val="24"/>
        </w:rPr>
      </w:pPr>
      <w:r w:rsidRPr="00567343">
        <w:rPr>
          <w:rFonts w:ascii="Helvetica" w:hAnsi="Helvetica" w:cs="Arial"/>
          <w:sz w:val="20"/>
          <w:szCs w:val="24"/>
        </w:rPr>
        <w:t>(e) trečiosios TIL populiacijos, surinktos pakopoje (d), pernešimą į infuzinį maišelį, kur perėjimas iš pakopos (d) į pakopą (e) vyksta neatidarant sistemos; ir</w:t>
      </w:r>
    </w:p>
    <w:p w14:paraId="436809BA" w14:textId="77777777" w:rsidR="005D75C9" w:rsidRPr="00567343" w:rsidRDefault="005D75C9" w:rsidP="00567343">
      <w:pPr>
        <w:autoSpaceDE w:val="0"/>
        <w:autoSpaceDN w:val="0"/>
        <w:adjustRightInd w:val="0"/>
        <w:spacing w:after="0" w:line="360" w:lineRule="auto"/>
        <w:jc w:val="both"/>
        <w:rPr>
          <w:rFonts w:ascii="Helvetica" w:hAnsi="Helvetica" w:cs="Arial"/>
          <w:sz w:val="20"/>
          <w:szCs w:val="24"/>
        </w:rPr>
      </w:pPr>
      <w:r w:rsidRPr="00567343">
        <w:rPr>
          <w:rFonts w:ascii="Helvetica" w:hAnsi="Helvetica" w:cs="Arial"/>
          <w:sz w:val="20"/>
          <w:szCs w:val="24"/>
        </w:rPr>
        <w:t xml:space="preserve">(f) infuzinio maišelio, apimančio TIL populiaciją, surinktą pakopoje (e), </w:t>
      </w:r>
      <w:proofErr w:type="spellStart"/>
      <w:r w:rsidRPr="00567343">
        <w:rPr>
          <w:rFonts w:ascii="Helvetica" w:hAnsi="Helvetica" w:cs="Arial"/>
          <w:sz w:val="20"/>
          <w:szCs w:val="24"/>
        </w:rPr>
        <w:t>kriokonservavimą</w:t>
      </w:r>
      <w:proofErr w:type="spellEnd"/>
      <w:r w:rsidRPr="00567343">
        <w:rPr>
          <w:rFonts w:ascii="Helvetica" w:hAnsi="Helvetica" w:cs="Arial"/>
          <w:sz w:val="20"/>
          <w:szCs w:val="24"/>
        </w:rPr>
        <w:t>, naudojant konservavimo šalčiu procesą, kur terapinė TIL populiacija, surinkta pakopoje (d), apima pakankamą kiekį TIL terapiniu požiūriu efektyviai TIL dozei, kur būdas apima TIL gyvybingumo tyrimą, ir kur terapinės TIL populiacijos gyvybingumas po vieno atšildymo yra didesnis nei arba lygus 70 %.</w:t>
      </w:r>
    </w:p>
    <w:p w14:paraId="5CD0BA59" w14:textId="77777777" w:rsidR="00567343" w:rsidRPr="00567343" w:rsidRDefault="00567343" w:rsidP="00567343">
      <w:pPr>
        <w:autoSpaceDE w:val="0"/>
        <w:autoSpaceDN w:val="0"/>
        <w:adjustRightInd w:val="0"/>
        <w:spacing w:after="0" w:line="360" w:lineRule="auto"/>
        <w:jc w:val="both"/>
        <w:rPr>
          <w:rFonts w:ascii="Helvetica" w:hAnsi="Helvetica" w:cs="Arial"/>
          <w:sz w:val="20"/>
          <w:szCs w:val="24"/>
        </w:rPr>
      </w:pPr>
    </w:p>
    <w:p w14:paraId="094A0D40" w14:textId="77777777" w:rsidR="005D75C9" w:rsidRPr="00567343" w:rsidRDefault="005D75C9" w:rsidP="00567343">
      <w:pPr>
        <w:spacing w:after="0" w:line="360" w:lineRule="auto"/>
        <w:ind w:firstLine="567"/>
        <w:jc w:val="both"/>
        <w:rPr>
          <w:rFonts w:ascii="Helvetica" w:hAnsi="Helvetica" w:cs="Arial"/>
          <w:sz w:val="20"/>
          <w:szCs w:val="24"/>
        </w:rPr>
      </w:pPr>
      <w:r w:rsidRPr="00567343">
        <w:rPr>
          <w:rFonts w:ascii="Helvetica" w:hAnsi="Helvetica" w:cs="Arial"/>
          <w:sz w:val="20"/>
          <w:szCs w:val="24"/>
        </w:rPr>
        <w:t>2. Būdas pagal 1 punktą, papildomai apimantis šalčiu konservuotų TIL gyvybingumo tyrimą po atšildymo.</w:t>
      </w:r>
    </w:p>
    <w:p w14:paraId="16246113" w14:textId="77777777" w:rsidR="00567343" w:rsidRPr="00567343" w:rsidRDefault="00567343" w:rsidP="00567343">
      <w:pPr>
        <w:spacing w:after="0" w:line="360" w:lineRule="auto"/>
        <w:ind w:firstLine="567"/>
        <w:jc w:val="both"/>
        <w:rPr>
          <w:rFonts w:ascii="Helvetica" w:hAnsi="Helvetica" w:cs="Arial"/>
          <w:sz w:val="20"/>
          <w:szCs w:val="24"/>
        </w:rPr>
      </w:pPr>
    </w:p>
    <w:p w14:paraId="78EAFA35" w14:textId="77777777" w:rsidR="005D75C9" w:rsidRPr="00567343" w:rsidRDefault="005D75C9" w:rsidP="00567343">
      <w:pPr>
        <w:spacing w:after="0" w:line="360" w:lineRule="auto"/>
        <w:ind w:firstLine="567"/>
        <w:jc w:val="both"/>
        <w:rPr>
          <w:rFonts w:ascii="Helvetica" w:hAnsi="Helvetica" w:cs="Arial"/>
          <w:sz w:val="20"/>
          <w:szCs w:val="24"/>
        </w:rPr>
      </w:pPr>
      <w:r w:rsidRPr="00567343">
        <w:rPr>
          <w:rFonts w:ascii="Helvetica" w:hAnsi="Helvetica" w:cs="Arial"/>
          <w:sz w:val="20"/>
          <w:szCs w:val="24"/>
        </w:rPr>
        <w:t>3. Būdas pagal 1 punktą, kur nė vienoje iš (a) – (f) pakopų neatliekama pirmosios TIL populiacijos, antrosios TIL populiacijos, trečiosios TIL populiacijos, surinktos TIL populiacijos ir (arba) terapinės TIL populiacijos atranka.</w:t>
      </w:r>
    </w:p>
    <w:p w14:paraId="5ACAAA83" w14:textId="77777777" w:rsidR="00567343" w:rsidRPr="00567343" w:rsidRDefault="00567343" w:rsidP="00567343">
      <w:pPr>
        <w:spacing w:after="0" w:line="360" w:lineRule="auto"/>
        <w:ind w:firstLine="567"/>
        <w:jc w:val="both"/>
        <w:rPr>
          <w:rFonts w:ascii="Helvetica" w:hAnsi="Helvetica" w:cs="Arial"/>
          <w:sz w:val="20"/>
          <w:szCs w:val="24"/>
        </w:rPr>
      </w:pPr>
    </w:p>
    <w:p w14:paraId="698DB8AA" w14:textId="77777777" w:rsidR="005D75C9" w:rsidRPr="00567343" w:rsidRDefault="005D75C9" w:rsidP="00567343">
      <w:pPr>
        <w:spacing w:after="0" w:line="360" w:lineRule="auto"/>
        <w:ind w:firstLine="567"/>
        <w:jc w:val="both"/>
        <w:rPr>
          <w:rFonts w:ascii="Helvetica" w:hAnsi="Helvetica" w:cs="Arial"/>
          <w:sz w:val="20"/>
          <w:szCs w:val="24"/>
        </w:rPr>
      </w:pPr>
      <w:r w:rsidRPr="00567343">
        <w:rPr>
          <w:rFonts w:ascii="Helvetica" w:hAnsi="Helvetica" w:cs="Arial"/>
          <w:sz w:val="20"/>
          <w:szCs w:val="24"/>
        </w:rPr>
        <w:t xml:space="preserve">4. Būdas pagal bet kurį ankstesnį punktą, kur APC yra periferinio kraujo </w:t>
      </w:r>
      <w:proofErr w:type="spellStart"/>
      <w:r w:rsidRPr="00567343">
        <w:rPr>
          <w:rFonts w:ascii="Helvetica" w:hAnsi="Helvetica" w:cs="Arial"/>
          <w:sz w:val="20"/>
          <w:szCs w:val="24"/>
        </w:rPr>
        <w:t>vienbranduolės</w:t>
      </w:r>
      <w:proofErr w:type="spellEnd"/>
      <w:r w:rsidRPr="00567343">
        <w:rPr>
          <w:rFonts w:ascii="Helvetica" w:hAnsi="Helvetica" w:cs="Arial"/>
          <w:sz w:val="20"/>
          <w:szCs w:val="24"/>
        </w:rPr>
        <w:t xml:space="preserve"> ląstelės (</w:t>
      </w:r>
      <w:proofErr w:type="spellStart"/>
      <w:r w:rsidRPr="00567343">
        <w:rPr>
          <w:rFonts w:ascii="Helvetica" w:hAnsi="Helvetica" w:cs="Arial"/>
          <w:sz w:val="20"/>
          <w:szCs w:val="24"/>
        </w:rPr>
        <w:t>PBMCs</w:t>
      </w:r>
      <w:proofErr w:type="spellEnd"/>
      <w:r w:rsidRPr="00567343">
        <w:rPr>
          <w:rFonts w:ascii="Helvetica" w:hAnsi="Helvetica" w:cs="Arial"/>
          <w:sz w:val="20"/>
          <w:szCs w:val="24"/>
        </w:rPr>
        <w:t>).</w:t>
      </w:r>
    </w:p>
    <w:p w14:paraId="0B6241DF" w14:textId="77777777" w:rsidR="00567343" w:rsidRPr="00567343" w:rsidRDefault="00567343" w:rsidP="00567343">
      <w:pPr>
        <w:spacing w:after="0" w:line="360" w:lineRule="auto"/>
        <w:ind w:firstLine="567"/>
        <w:jc w:val="both"/>
        <w:rPr>
          <w:rFonts w:ascii="Helvetica" w:hAnsi="Helvetica" w:cs="Arial"/>
          <w:sz w:val="20"/>
          <w:szCs w:val="24"/>
        </w:rPr>
      </w:pPr>
    </w:p>
    <w:p w14:paraId="7CF243DF" w14:textId="77777777" w:rsidR="005D75C9" w:rsidRPr="00567343" w:rsidRDefault="005D75C9" w:rsidP="00567343">
      <w:pPr>
        <w:spacing w:after="0" w:line="360" w:lineRule="auto"/>
        <w:ind w:firstLine="567"/>
        <w:jc w:val="both"/>
        <w:rPr>
          <w:rFonts w:ascii="Helvetica" w:hAnsi="Helvetica" w:cs="Arial"/>
          <w:sz w:val="20"/>
          <w:szCs w:val="24"/>
        </w:rPr>
      </w:pPr>
      <w:r w:rsidRPr="00567343">
        <w:rPr>
          <w:rFonts w:ascii="Helvetica" w:hAnsi="Helvetica" w:cs="Arial"/>
          <w:sz w:val="20"/>
          <w:szCs w:val="24"/>
        </w:rPr>
        <w:t>5. Būdas pagal 4 punktą, kur PBMC yra papildytos santykiu 1:25 TIL:PBMC.</w:t>
      </w:r>
    </w:p>
    <w:p w14:paraId="73F14BFF" w14:textId="77777777" w:rsidR="00685286" w:rsidRDefault="00685286" w:rsidP="00685286">
      <w:pPr>
        <w:spacing w:after="0" w:line="360" w:lineRule="auto"/>
        <w:ind w:firstLine="567"/>
        <w:jc w:val="both"/>
        <w:rPr>
          <w:rFonts w:ascii="Helvetica" w:hAnsi="Helvetica" w:cs="Arial"/>
          <w:sz w:val="20"/>
          <w:szCs w:val="24"/>
        </w:rPr>
      </w:pPr>
    </w:p>
    <w:p w14:paraId="7522B459" w14:textId="3D6201F1" w:rsidR="005D75C9" w:rsidRPr="00567343" w:rsidRDefault="005D75C9" w:rsidP="00685286">
      <w:pPr>
        <w:spacing w:after="0" w:line="360" w:lineRule="auto"/>
        <w:ind w:firstLine="567"/>
        <w:jc w:val="both"/>
        <w:rPr>
          <w:rFonts w:ascii="Helvetica" w:hAnsi="Helvetica" w:cs="Arial"/>
          <w:sz w:val="20"/>
          <w:szCs w:val="24"/>
        </w:rPr>
      </w:pPr>
      <w:r w:rsidRPr="00567343">
        <w:rPr>
          <w:rFonts w:ascii="Helvetica" w:hAnsi="Helvetica" w:cs="Arial"/>
          <w:sz w:val="20"/>
          <w:szCs w:val="24"/>
        </w:rPr>
        <w:t>6. Būdas pagal bet kurį iš 1-5 punktą, kur pakopos (a) – (e) atliekamos per 20 dienų - 22 dienų laikotarpį.</w:t>
      </w:r>
    </w:p>
    <w:p w14:paraId="4D62317A" w14:textId="77777777" w:rsidR="00567343" w:rsidRPr="00567343" w:rsidRDefault="00567343" w:rsidP="00685286">
      <w:pPr>
        <w:spacing w:after="0" w:line="360" w:lineRule="auto"/>
        <w:ind w:firstLine="567"/>
        <w:jc w:val="both"/>
        <w:rPr>
          <w:rFonts w:ascii="Helvetica" w:hAnsi="Helvetica" w:cs="Arial"/>
          <w:sz w:val="20"/>
          <w:szCs w:val="24"/>
        </w:rPr>
      </w:pPr>
    </w:p>
    <w:p w14:paraId="4F6DC1BA" w14:textId="77777777" w:rsidR="005D75C9" w:rsidRPr="00567343" w:rsidRDefault="005D75C9" w:rsidP="00685286">
      <w:pPr>
        <w:spacing w:after="0" w:line="360" w:lineRule="auto"/>
        <w:ind w:firstLine="567"/>
        <w:jc w:val="both"/>
        <w:rPr>
          <w:rFonts w:ascii="Helvetica" w:hAnsi="Helvetica" w:cs="Arial"/>
          <w:sz w:val="20"/>
          <w:szCs w:val="24"/>
        </w:rPr>
      </w:pPr>
      <w:r w:rsidRPr="00567343">
        <w:rPr>
          <w:rFonts w:ascii="Helvetica" w:hAnsi="Helvetica" w:cs="Arial"/>
          <w:sz w:val="20"/>
          <w:szCs w:val="24"/>
        </w:rPr>
        <w:t>7. Būdas pagal bet kurį iš 1-5 punktą, kur pakopos (a) – (e) atliekamos per 22 dienų laikotarpį.</w:t>
      </w:r>
    </w:p>
    <w:p w14:paraId="356B4FC9" w14:textId="77777777" w:rsidR="00685286" w:rsidRDefault="00685286" w:rsidP="00685286">
      <w:pPr>
        <w:spacing w:after="0" w:line="360" w:lineRule="auto"/>
        <w:ind w:firstLine="567"/>
        <w:jc w:val="both"/>
        <w:rPr>
          <w:rFonts w:ascii="Helvetica" w:hAnsi="Helvetica" w:cs="Arial"/>
          <w:sz w:val="20"/>
          <w:szCs w:val="24"/>
        </w:rPr>
      </w:pPr>
    </w:p>
    <w:p w14:paraId="40ADDF1A" w14:textId="0AFD607D" w:rsidR="005D75C9" w:rsidRPr="00567343" w:rsidRDefault="005D75C9" w:rsidP="00685286">
      <w:pPr>
        <w:spacing w:after="0" w:line="360" w:lineRule="auto"/>
        <w:ind w:firstLine="567"/>
        <w:jc w:val="both"/>
        <w:rPr>
          <w:rFonts w:ascii="Helvetica" w:hAnsi="Helvetica" w:cs="Arial"/>
          <w:sz w:val="20"/>
          <w:szCs w:val="24"/>
        </w:rPr>
      </w:pPr>
      <w:r w:rsidRPr="00567343">
        <w:rPr>
          <w:rFonts w:ascii="Helvetica" w:hAnsi="Helvetica" w:cs="Arial"/>
          <w:sz w:val="20"/>
          <w:szCs w:val="24"/>
        </w:rPr>
        <w:t xml:space="preserve">8. Būdas pagal bet kurį ankstesnį punktą, kur vėžys yra parinktas iš grupės, susidedančios iš melanomos, kiaušidžių vėžio, gimdos kaklelio vėžio, </w:t>
      </w:r>
      <w:proofErr w:type="spellStart"/>
      <w:r w:rsidRPr="00567343">
        <w:rPr>
          <w:rFonts w:ascii="Helvetica" w:hAnsi="Helvetica" w:cs="Arial"/>
          <w:sz w:val="20"/>
          <w:szCs w:val="24"/>
        </w:rPr>
        <w:t>nesmulkialąstelinio</w:t>
      </w:r>
      <w:proofErr w:type="spellEnd"/>
      <w:r w:rsidRPr="00567343">
        <w:rPr>
          <w:rFonts w:ascii="Helvetica" w:hAnsi="Helvetica" w:cs="Arial"/>
          <w:sz w:val="20"/>
          <w:szCs w:val="24"/>
        </w:rPr>
        <w:t xml:space="preserve"> plaučių vėžio (NSCLC), plaučių vėžio, šlapimo pūslės vėžio, krūties vėžio, žmogaus papilomos viruso sukelto vėžio, galvos ir kaklo vėžio (įskaitant galvos ir kaklo </w:t>
      </w:r>
      <w:proofErr w:type="spellStart"/>
      <w:r w:rsidRPr="00567343">
        <w:rPr>
          <w:rFonts w:ascii="Helvetica" w:hAnsi="Helvetica" w:cs="Arial"/>
          <w:sz w:val="20"/>
          <w:szCs w:val="24"/>
        </w:rPr>
        <w:t>plokščialąstelinę</w:t>
      </w:r>
      <w:proofErr w:type="spellEnd"/>
      <w:r w:rsidRPr="00567343">
        <w:rPr>
          <w:rFonts w:ascii="Helvetica" w:hAnsi="Helvetica" w:cs="Arial"/>
          <w:sz w:val="20"/>
          <w:szCs w:val="24"/>
        </w:rPr>
        <w:t xml:space="preserve"> karcinomą (HNSCC)), inkstų vėžio ir inkstų ląstelių karcinomos.</w:t>
      </w:r>
    </w:p>
    <w:p w14:paraId="64BC3DAB" w14:textId="77777777" w:rsidR="00567343" w:rsidRPr="00567343" w:rsidRDefault="00567343" w:rsidP="00567343">
      <w:pPr>
        <w:spacing w:after="0" w:line="360" w:lineRule="auto"/>
        <w:jc w:val="both"/>
        <w:rPr>
          <w:rFonts w:ascii="Helvetica" w:hAnsi="Helvetica" w:cs="Arial"/>
          <w:sz w:val="20"/>
          <w:szCs w:val="24"/>
        </w:rPr>
      </w:pPr>
    </w:p>
    <w:p w14:paraId="6954BCD0" w14:textId="77777777" w:rsidR="005D75C9" w:rsidRPr="00567343" w:rsidRDefault="005D75C9" w:rsidP="00567343">
      <w:pPr>
        <w:spacing w:after="0" w:line="360" w:lineRule="auto"/>
        <w:ind w:firstLine="567"/>
        <w:jc w:val="both"/>
        <w:rPr>
          <w:rFonts w:ascii="Helvetica" w:hAnsi="Helvetica" w:cs="Arial"/>
          <w:sz w:val="20"/>
          <w:szCs w:val="24"/>
        </w:rPr>
      </w:pPr>
      <w:r w:rsidRPr="00567343">
        <w:rPr>
          <w:rFonts w:ascii="Helvetica" w:hAnsi="Helvetica" w:cs="Arial"/>
          <w:sz w:val="20"/>
          <w:szCs w:val="24"/>
        </w:rPr>
        <w:t>9. Būdas pagal 8 punktą, kur vėžys yra parinktas iš grupės, susidedančios iš melanomos, HNSCC, gimdos kaklelio vėžio ir NSCLC.</w:t>
      </w:r>
    </w:p>
    <w:p w14:paraId="4291C20E" w14:textId="77777777" w:rsidR="00567343" w:rsidRPr="00567343" w:rsidRDefault="00567343" w:rsidP="00567343">
      <w:pPr>
        <w:spacing w:after="0" w:line="360" w:lineRule="auto"/>
        <w:ind w:firstLine="567"/>
        <w:jc w:val="both"/>
        <w:rPr>
          <w:rFonts w:ascii="Helvetica" w:hAnsi="Helvetica" w:cs="Arial"/>
          <w:sz w:val="20"/>
          <w:szCs w:val="24"/>
        </w:rPr>
      </w:pPr>
    </w:p>
    <w:p w14:paraId="72DC65A1" w14:textId="77777777" w:rsidR="005D75C9" w:rsidRPr="00567343" w:rsidRDefault="005D75C9" w:rsidP="00567343">
      <w:pPr>
        <w:autoSpaceDE w:val="0"/>
        <w:autoSpaceDN w:val="0"/>
        <w:adjustRightInd w:val="0"/>
        <w:spacing w:after="0" w:line="360" w:lineRule="auto"/>
        <w:ind w:firstLine="567"/>
        <w:jc w:val="both"/>
        <w:rPr>
          <w:rFonts w:ascii="Helvetica" w:hAnsi="Helvetica" w:cs="Arial"/>
          <w:sz w:val="20"/>
          <w:szCs w:val="24"/>
        </w:rPr>
      </w:pPr>
      <w:r w:rsidRPr="00567343">
        <w:rPr>
          <w:rFonts w:ascii="Helvetica" w:hAnsi="Helvetica" w:cs="Arial"/>
          <w:sz w:val="20"/>
          <w:szCs w:val="24"/>
        </w:rPr>
        <w:t>10. Būdas pagal 9 punktą, kur vėžys yra melanoma.</w:t>
      </w:r>
    </w:p>
    <w:p w14:paraId="513504DB" w14:textId="77777777" w:rsidR="00685286" w:rsidRDefault="00685286" w:rsidP="00685286">
      <w:pPr>
        <w:autoSpaceDE w:val="0"/>
        <w:autoSpaceDN w:val="0"/>
        <w:adjustRightInd w:val="0"/>
        <w:spacing w:after="0" w:line="360" w:lineRule="auto"/>
        <w:ind w:firstLine="567"/>
        <w:jc w:val="both"/>
        <w:rPr>
          <w:rFonts w:ascii="Helvetica" w:hAnsi="Helvetica" w:cs="Arial"/>
          <w:sz w:val="20"/>
          <w:szCs w:val="24"/>
        </w:rPr>
      </w:pPr>
    </w:p>
    <w:p w14:paraId="0C33CB2D" w14:textId="420EEA08" w:rsidR="005D75C9" w:rsidRPr="00567343" w:rsidRDefault="005D75C9" w:rsidP="00685286">
      <w:pPr>
        <w:autoSpaceDE w:val="0"/>
        <w:autoSpaceDN w:val="0"/>
        <w:adjustRightInd w:val="0"/>
        <w:spacing w:after="0" w:line="360" w:lineRule="auto"/>
        <w:ind w:firstLine="567"/>
        <w:jc w:val="both"/>
        <w:rPr>
          <w:rFonts w:ascii="Helvetica" w:hAnsi="Helvetica" w:cs="Arial"/>
          <w:sz w:val="20"/>
          <w:szCs w:val="24"/>
        </w:rPr>
      </w:pPr>
      <w:r w:rsidRPr="00567343">
        <w:rPr>
          <w:rFonts w:ascii="Helvetica" w:hAnsi="Helvetica" w:cs="Arial"/>
          <w:sz w:val="20"/>
          <w:szCs w:val="24"/>
        </w:rPr>
        <w:t>11. Būdas pagal 9 punktą, kur vėžys yra HNSCC.</w:t>
      </w:r>
    </w:p>
    <w:p w14:paraId="4749855B" w14:textId="77777777" w:rsidR="00567343" w:rsidRPr="00567343" w:rsidRDefault="00567343" w:rsidP="00685286">
      <w:pPr>
        <w:autoSpaceDE w:val="0"/>
        <w:autoSpaceDN w:val="0"/>
        <w:adjustRightInd w:val="0"/>
        <w:spacing w:after="0" w:line="360" w:lineRule="auto"/>
        <w:ind w:firstLine="567"/>
        <w:jc w:val="both"/>
        <w:rPr>
          <w:rFonts w:ascii="Helvetica" w:hAnsi="Helvetica" w:cs="Arial"/>
          <w:sz w:val="20"/>
          <w:szCs w:val="24"/>
        </w:rPr>
      </w:pPr>
    </w:p>
    <w:p w14:paraId="3A06303A" w14:textId="77777777" w:rsidR="005D75C9" w:rsidRPr="00567343" w:rsidRDefault="005D75C9" w:rsidP="00685286">
      <w:pPr>
        <w:autoSpaceDE w:val="0"/>
        <w:autoSpaceDN w:val="0"/>
        <w:adjustRightInd w:val="0"/>
        <w:spacing w:after="0" w:line="360" w:lineRule="auto"/>
        <w:ind w:firstLine="567"/>
        <w:jc w:val="both"/>
        <w:rPr>
          <w:rFonts w:ascii="Helvetica" w:hAnsi="Helvetica" w:cs="Arial"/>
          <w:sz w:val="20"/>
          <w:szCs w:val="24"/>
        </w:rPr>
      </w:pPr>
      <w:r w:rsidRPr="00567343">
        <w:rPr>
          <w:rFonts w:ascii="Helvetica" w:hAnsi="Helvetica" w:cs="Arial"/>
          <w:sz w:val="20"/>
          <w:szCs w:val="24"/>
        </w:rPr>
        <w:t>12. Būdas pagal 9 punktą, kur vėžys yra gimdos kaklelio vėžys.</w:t>
      </w:r>
    </w:p>
    <w:p w14:paraId="23928A46" w14:textId="77777777" w:rsidR="00685286" w:rsidRDefault="00685286" w:rsidP="00685286">
      <w:pPr>
        <w:autoSpaceDE w:val="0"/>
        <w:autoSpaceDN w:val="0"/>
        <w:adjustRightInd w:val="0"/>
        <w:spacing w:after="0" w:line="360" w:lineRule="auto"/>
        <w:ind w:firstLine="567"/>
        <w:jc w:val="both"/>
        <w:rPr>
          <w:rFonts w:ascii="Helvetica" w:hAnsi="Helvetica" w:cs="Arial"/>
          <w:sz w:val="20"/>
          <w:szCs w:val="24"/>
        </w:rPr>
      </w:pPr>
    </w:p>
    <w:p w14:paraId="1A74E15D" w14:textId="7A081820" w:rsidR="005D75C9" w:rsidRPr="00567343" w:rsidRDefault="005D75C9" w:rsidP="00685286">
      <w:pPr>
        <w:autoSpaceDE w:val="0"/>
        <w:autoSpaceDN w:val="0"/>
        <w:adjustRightInd w:val="0"/>
        <w:spacing w:after="0" w:line="360" w:lineRule="auto"/>
        <w:ind w:firstLine="567"/>
        <w:jc w:val="both"/>
        <w:rPr>
          <w:rFonts w:ascii="Helvetica" w:hAnsi="Helvetica" w:cs="Arial"/>
          <w:sz w:val="20"/>
          <w:szCs w:val="24"/>
        </w:rPr>
      </w:pPr>
      <w:r w:rsidRPr="00567343">
        <w:rPr>
          <w:rFonts w:ascii="Helvetica" w:hAnsi="Helvetica" w:cs="Arial"/>
          <w:sz w:val="20"/>
          <w:szCs w:val="24"/>
        </w:rPr>
        <w:t>13. Būdas pagal 9 punktą, kur vėžys yra NSCLC.</w:t>
      </w:r>
    </w:p>
    <w:p w14:paraId="5B49576F" w14:textId="77777777" w:rsidR="00567343" w:rsidRPr="00567343" w:rsidRDefault="00567343" w:rsidP="00685286">
      <w:pPr>
        <w:autoSpaceDE w:val="0"/>
        <w:autoSpaceDN w:val="0"/>
        <w:adjustRightInd w:val="0"/>
        <w:spacing w:after="0" w:line="360" w:lineRule="auto"/>
        <w:ind w:firstLine="567"/>
        <w:jc w:val="both"/>
        <w:rPr>
          <w:rFonts w:ascii="Helvetica" w:hAnsi="Helvetica" w:cs="Arial"/>
          <w:sz w:val="20"/>
          <w:szCs w:val="24"/>
        </w:rPr>
      </w:pPr>
    </w:p>
    <w:p w14:paraId="10F65A6B" w14:textId="77777777" w:rsidR="005D75C9" w:rsidRPr="00567343" w:rsidRDefault="005D75C9" w:rsidP="00567343">
      <w:pPr>
        <w:autoSpaceDE w:val="0"/>
        <w:autoSpaceDN w:val="0"/>
        <w:adjustRightInd w:val="0"/>
        <w:spacing w:after="0" w:line="360" w:lineRule="auto"/>
        <w:ind w:firstLine="567"/>
        <w:jc w:val="both"/>
        <w:rPr>
          <w:rFonts w:ascii="Helvetica" w:hAnsi="Helvetica" w:cs="Arial"/>
          <w:sz w:val="20"/>
          <w:szCs w:val="24"/>
        </w:rPr>
      </w:pPr>
      <w:r w:rsidRPr="00567343">
        <w:rPr>
          <w:rFonts w:ascii="Helvetica" w:hAnsi="Helvetica" w:cs="Arial"/>
          <w:sz w:val="20"/>
          <w:szCs w:val="24"/>
        </w:rPr>
        <w:t>14.</w:t>
      </w:r>
      <w:r w:rsidRPr="00567343">
        <w:rPr>
          <w:rFonts w:ascii="Helvetica" w:hAnsi="Helvetica" w:cs="Arial"/>
          <w:b/>
          <w:bCs/>
          <w:sz w:val="20"/>
          <w:szCs w:val="24"/>
        </w:rPr>
        <w:t xml:space="preserve"> </w:t>
      </w:r>
      <w:r w:rsidRPr="00567343">
        <w:rPr>
          <w:rFonts w:ascii="Helvetica" w:hAnsi="Helvetica" w:cs="Arial"/>
          <w:sz w:val="20"/>
          <w:szCs w:val="24"/>
        </w:rPr>
        <w:t>Būdas pagal bet kurį ankstesnį punktą, kur prieš pakopą (a) būdas apima pirmosios TIL populiacijos gavimą iš naviko, pašalinto iš subjekto organizmo, suskaidant iš subjekto gautą naviko mėginį į daug naviko fragmentų.</w:t>
      </w:r>
    </w:p>
    <w:p w14:paraId="137C8FD7" w14:textId="77777777" w:rsidR="00567343" w:rsidRPr="00567343" w:rsidRDefault="00567343" w:rsidP="00567343">
      <w:pPr>
        <w:autoSpaceDE w:val="0"/>
        <w:autoSpaceDN w:val="0"/>
        <w:adjustRightInd w:val="0"/>
        <w:spacing w:after="0" w:line="360" w:lineRule="auto"/>
        <w:ind w:firstLine="567"/>
        <w:jc w:val="both"/>
        <w:rPr>
          <w:rFonts w:ascii="Helvetica" w:hAnsi="Helvetica" w:cs="Arial"/>
          <w:sz w:val="20"/>
          <w:szCs w:val="24"/>
        </w:rPr>
      </w:pPr>
    </w:p>
    <w:p w14:paraId="55F78619" w14:textId="77777777" w:rsidR="005D75C9" w:rsidRPr="00567343" w:rsidRDefault="005D75C9" w:rsidP="00567343">
      <w:pPr>
        <w:autoSpaceDE w:val="0"/>
        <w:autoSpaceDN w:val="0"/>
        <w:adjustRightInd w:val="0"/>
        <w:spacing w:after="0" w:line="360" w:lineRule="auto"/>
        <w:ind w:firstLine="567"/>
        <w:jc w:val="both"/>
        <w:rPr>
          <w:rFonts w:ascii="Helvetica" w:hAnsi="Helvetica" w:cs="Arial"/>
          <w:sz w:val="20"/>
          <w:szCs w:val="24"/>
        </w:rPr>
      </w:pPr>
      <w:r w:rsidRPr="00567343">
        <w:rPr>
          <w:rFonts w:ascii="Helvetica" w:hAnsi="Helvetica" w:cs="Arial"/>
          <w:sz w:val="20"/>
          <w:szCs w:val="24"/>
        </w:rPr>
        <w:t>15. Būdas pagal bet kurį ankstesnį punktą, kur mikrobinio užteršimo rizika yra sumažinta, lyginant su atvira sistema.</w:t>
      </w:r>
    </w:p>
    <w:p w14:paraId="1CA99E48" w14:textId="77777777" w:rsidR="00567343" w:rsidRPr="00567343" w:rsidRDefault="00567343" w:rsidP="00567343">
      <w:pPr>
        <w:autoSpaceDE w:val="0"/>
        <w:autoSpaceDN w:val="0"/>
        <w:adjustRightInd w:val="0"/>
        <w:spacing w:after="0" w:line="360" w:lineRule="auto"/>
        <w:ind w:firstLine="567"/>
        <w:jc w:val="both"/>
        <w:rPr>
          <w:rFonts w:ascii="Helvetica" w:hAnsi="Helvetica" w:cs="Arial"/>
          <w:sz w:val="20"/>
          <w:szCs w:val="24"/>
        </w:rPr>
      </w:pPr>
    </w:p>
    <w:p w14:paraId="13E05503" w14:textId="77777777" w:rsidR="005D75C9" w:rsidRPr="00567343" w:rsidRDefault="005D75C9" w:rsidP="00567343">
      <w:pPr>
        <w:autoSpaceDE w:val="0"/>
        <w:autoSpaceDN w:val="0"/>
        <w:adjustRightInd w:val="0"/>
        <w:spacing w:after="0" w:line="360" w:lineRule="auto"/>
        <w:ind w:firstLine="567"/>
        <w:jc w:val="both"/>
        <w:rPr>
          <w:rFonts w:ascii="Helvetica" w:hAnsi="Helvetica" w:cs="Arial"/>
          <w:sz w:val="20"/>
          <w:szCs w:val="24"/>
        </w:rPr>
      </w:pPr>
      <w:r w:rsidRPr="00567343">
        <w:rPr>
          <w:rFonts w:ascii="Helvetica" w:hAnsi="Helvetica" w:cs="Arial"/>
          <w:sz w:val="20"/>
          <w:szCs w:val="24"/>
        </w:rPr>
        <w:t xml:space="preserve">16. Būdas pagal bet kurį ankstesnį punktą, kur trečioji TIL populiacija yra terapinė TIL populiacija, kuri apima padidintą </w:t>
      </w:r>
      <w:proofErr w:type="spellStart"/>
      <w:r w:rsidRPr="00567343">
        <w:rPr>
          <w:rFonts w:ascii="Helvetica" w:hAnsi="Helvetica" w:cs="Arial"/>
          <w:sz w:val="20"/>
          <w:szCs w:val="24"/>
        </w:rPr>
        <w:t>efektorinių</w:t>
      </w:r>
      <w:proofErr w:type="spellEnd"/>
      <w:r w:rsidRPr="00567343">
        <w:rPr>
          <w:rFonts w:ascii="Helvetica" w:hAnsi="Helvetica" w:cs="Arial"/>
          <w:sz w:val="20"/>
          <w:szCs w:val="24"/>
        </w:rPr>
        <w:t xml:space="preserve"> T ląstelių ir (arba) centrinės atminties T ląstelių </w:t>
      </w:r>
      <w:proofErr w:type="spellStart"/>
      <w:r w:rsidRPr="00567343">
        <w:rPr>
          <w:rFonts w:ascii="Helvetica" w:hAnsi="Helvetica" w:cs="Arial"/>
          <w:sz w:val="20"/>
          <w:szCs w:val="24"/>
        </w:rPr>
        <w:t>subpopuliaciją</w:t>
      </w:r>
      <w:proofErr w:type="spellEnd"/>
      <w:r w:rsidRPr="00567343">
        <w:rPr>
          <w:rFonts w:ascii="Helvetica" w:hAnsi="Helvetica" w:cs="Arial"/>
          <w:sz w:val="20"/>
          <w:szCs w:val="24"/>
        </w:rPr>
        <w:t xml:space="preserve">, lyginant su antrąja TIL populiacija, kur </w:t>
      </w:r>
      <w:proofErr w:type="spellStart"/>
      <w:r w:rsidRPr="00567343">
        <w:rPr>
          <w:rFonts w:ascii="Helvetica" w:hAnsi="Helvetica" w:cs="Arial"/>
          <w:sz w:val="20"/>
          <w:szCs w:val="24"/>
        </w:rPr>
        <w:t>efektorinės</w:t>
      </w:r>
      <w:proofErr w:type="spellEnd"/>
      <w:r w:rsidRPr="00567343">
        <w:rPr>
          <w:rFonts w:ascii="Helvetica" w:hAnsi="Helvetica" w:cs="Arial"/>
          <w:sz w:val="20"/>
          <w:szCs w:val="24"/>
        </w:rPr>
        <w:t xml:space="preserve"> T ląstelės ir (arba) centrinės atminties T ląstelės, gautos terapinėje TIL populiacijoje, demonstruoja vieną arba daugiau charakteristikų, parinktų iš grupės, susidedančios iš CD27+ raiškos, CD28+ raiškos, ilgesnių </w:t>
      </w:r>
      <w:proofErr w:type="spellStart"/>
      <w:r w:rsidRPr="00567343">
        <w:rPr>
          <w:rFonts w:ascii="Helvetica" w:hAnsi="Helvetica" w:cs="Arial"/>
          <w:sz w:val="20"/>
          <w:szCs w:val="24"/>
        </w:rPr>
        <w:t>telomerų</w:t>
      </w:r>
      <w:proofErr w:type="spellEnd"/>
      <w:r w:rsidRPr="00567343">
        <w:rPr>
          <w:rFonts w:ascii="Helvetica" w:hAnsi="Helvetica" w:cs="Arial"/>
          <w:sz w:val="20"/>
          <w:szCs w:val="24"/>
        </w:rPr>
        <w:t xml:space="preserve">, padidintos CD57 raiškos ir sumažintos CD56 raiškos, lyginant su </w:t>
      </w:r>
      <w:proofErr w:type="spellStart"/>
      <w:r w:rsidRPr="00567343">
        <w:rPr>
          <w:rFonts w:ascii="Helvetica" w:hAnsi="Helvetica" w:cs="Arial"/>
          <w:sz w:val="20"/>
          <w:szCs w:val="24"/>
        </w:rPr>
        <w:t>efektorinėmis</w:t>
      </w:r>
      <w:proofErr w:type="spellEnd"/>
      <w:r w:rsidRPr="00567343">
        <w:rPr>
          <w:rFonts w:ascii="Helvetica" w:hAnsi="Helvetica" w:cs="Arial"/>
          <w:sz w:val="20"/>
          <w:szCs w:val="24"/>
        </w:rPr>
        <w:t xml:space="preserve"> T ląstelėmis ir (arba) centrinės atminties T ląstelėmis, gautomis iš antrosios ląstelių populiacijos.</w:t>
      </w:r>
    </w:p>
    <w:p w14:paraId="0D1143E3" w14:textId="77777777" w:rsidR="00567343" w:rsidRPr="00567343" w:rsidRDefault="00567343" w:rsidP="00567343">
      <w:pPr>
        <w:autoSpaceDE w:val="0"/>
        <w:autoSpaceDN w:val="0"/>
        <w:adjustRightInd w:val="0"/>
        <w:spacing w:after="0" w:line="360" w:lineRule="auto"/>
        <w:ind w:firstLine="567"/>
        <w:jc w:val="both"/>
        <w:rPr>
          <w:rFonts w:ascii="Helvetica" w:hAnsi="Helvetica" w:cs="Arial"/>
          <w:sz w:val="20"/>
          <w:szCs w:val="24"/>
        </w:rPr>
      </w:pPr>
    </w:p>
    <w:p w14:paraId="202A0518" w14:textId="77777777" w:rsidR="005D75C9" w:rsidRPr="00567343" w:rsidRDefault="005D75C9" w:rsidP="00567343">
      <w:pPr>
        <w:autoSpaceDE w:val="0"/>
        <w:autoSpaceDN w:val="0"/>
        <w:adjustRightInd w:val="0"/>
        <w:spacing w:after="0" w:line="360" w:lineRule="auto"/>
        <w:ind w:firstLine="567"/>
        <w:jc w:val="both"/>
        <w:rPr>
          <w:rFonts w:ascii="Helvetica" w:hAnsi="Helvetica" w:cs="Arial"/>
          <w:sz w:val="20"/>
          <w:szCs w:val="24"/>
        </w:rPr>
      </w:pPr>
      <w:r w:rsidRPr="00567343">
        <w:rPr>
          <w:rFonts w:ascii="Helvetica" w:hAnsi="Helvetica" w:cs="Arial"/>
          <w:sz w:val="20"/>
          <w:szCs w:val="24"/>
        </w:rPr>
        <w:t>17. Būdas pagal 1 punktą, kur vieną kartą atšildytos terapinės TIL populiacijos gyvybingumas yra didesnis nei 70 %.</w:t>
      </w:r>
    </w:p>
    <w:p w14:paraId="6A2F7003" w14:textId="77777777" w:rsidR="00567343" w:rsidRPr="00567343" w:rsidRDefault="00567343" w:rsidP="00567343">
      <w:pPr>
        <w:autoSpaceDE w:val="0"/>
        <w:autoSpaceDN w:val="0"/>
        <w:adjustRightInd w:val="0"/>
        <w:spacing w:after="0" w:line="360" w:lineRule="auto"/>
        <w:ind w:firstLine="567"/>
        <w:jc w:val="both"/>
        <w:rPr>
          <w:rFonts w:ascii="Helvetica" w:hAnsi="Helvetica" w:cs="Arial"/>
          <w:sz w:val="20"/>
          <w:szCs w:val="24"/>
        </w:rPr>
      </w:pPr>
    </w:p>
    <w:p w14:paraId="6185E454" w14:textId="2ACC0BA8" w:rsidR="005D75C9" w:rsidRPr="00567343" w:rsidRDefault="005D75C9" w:rsidP="00685286">
      <w:pPr>
        <w:autoSpaceDE w:val="0"/>
        <w:autoSpaceDN w:val="0"/>
        <w:adjustRightInd w:val="0"/>
        <w:spacing w:after="0" w:line="360" w:lineRule="auto"/>
        <w:ind w:firstLine="567"/>
        <w:jc w:val="both"/>
        <w:rPr>
          <w:rFonts w:ascii="Helvetica" w:hAnsi="Helvetica" w:cs="Arial"/>
          <w:sz w:val="20"/>
          <w:szCs w:val="24"/>
        </w:rPr>
      </w:pPr>
      <w:r w:rsidRPr="00567343">
        <w:rPr>
          <w:rFonts w:ascii="Helvetica" w:hAnsi="Helvetica" w:cs="Arial"/>
          <w:sz w:val="20"/>
          <w:szCs w:val="24"/>
        </w:rPr>
        <w:t>18.</w:t>
      </w:r>
      <w:r w:rsidRPr="00567343">
        <w:rPr>
          <w:rFonts w:ascii="Helvetica" w:hAnsi="Helvetica" w:cs="Arial"/>
          <w:b/>
          <w:bCs/>
          <w:sz w:val="20"/>
          <w:szCs w:val="24"/>
        </w:rPr>
        <w:t xml:space="preserve"> </w:t>
      </w:r>
      <w:r w:rsidRPr="00567343">
        <w:rPr>
          <w:rFonts w:ascii="Helvetica" w:hAnsi="Helvetica" w:cs="Arial"/>
          <w:sz w:val="20"/>
          <w:szCs w:val="24"/>
        </w:rPr>
        <w:t>Būdas pagal 1 punktą, kur vieną kartą atšildytos terapinės TIL populiacijos gyvybingumas yra didesnis nei 86 %.</w:t>
      </w:r>
    </w:p>
    <w:sectPr w:rsidR="005D75C9" w:rsidRPr="00567343" w:rsidSect="00567343">
      <w:pgSz w:w="11906" w:h="16838"/>
      <w:pgMar w:top="1134" w:right="567" w:bottom="567" w:left="1701" w:header="567" w:footer="28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BAFD6" w14:textId="77777777" w:rsidR="00567343" w:rsidRDefault="00567343" w:rsidP="00567343">
      <w:pPr>
        <w:spacing w:after="0" w:line="240" w:lineRule="auto"/>
      </w:pPr>
      <w:r>
        <w:separator/>
      </w:r>
    </w:p>
  </w:endnote>
  <w:endnote w:type="continuationSeparator" w:id="0">
    <w:p w14:paraId="55299085" w14:textId="77777777" w:rsidR="00567343" w:rsidRDefault="00567343" w:rsidP="00567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Helvetica">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4E562" w14:textId="77777777" w:rsidR="00567343" w:rsidRDefault="00567343" w:rsidP="00567343">
      <w:pPr>
        <w:spacing w:after="0" w:line="240" w:lineRule="auto"/>
      </w:pPr>
      <w:r>
        <w:separator/>
      </w:r>
    </w:p>
  </w:footnote>
  <w:footnote w:type="continuationSeparator" w:id="0">
    <w:p w14:paraId="67F5C2A1" w14:textId="77777777" w:rsidR="00567343" w:rsidRDefault="00567343" w:rsidP="005673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6"/>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6BA"/>
    <w:rsid w:val="0000726D"/>
    <w:rsid w:val="000657CC"/>
    <w:rsid w:val="00091494"/>
    <w:rsid w:val="000B1DE7"/>
    <w:rsid w:val="00100598"/>
    <w:rsid w:val="001340E0"/>
    <w:rsid w:val="00142022"/>
    <w:rsid w:val="0018473C"/>
    <w:rsid w:val="001A66DC"/>
    <w:rsid w:val="001D55F6"/>
    <w:rsid w:val="00220F37"/>
    <w:rsid w:val="002646BA"/>
    <w:rsid w:val="00276E95"/>
    <w:rsid w:val="0028658E"/>
    <w:rsid w:val="002C447F"/>
    <w:rsid w:val="002D2F3D"/>
    <w:rsid w:val="002F3283"/>
    <w:rsid w:val="003157EF"/>
    <w:rsid w:val="003215A7"/>
    <w:rsid w:val="003221D8"/>
    <w:rsid w:val="003315F6"/>
    <w:rsid w:val="0033564B"/>
    <w:rsid w:val="0036065D"/>
    <w:rsid w:val="003A00DC"/>
    <w:rsid w:val="003C2A5A"/>
    <w:rsid w:val="003C4F3F"/>
    <w:rsid w:val="004859D0"/>
    <w:rsid w:val="004B1648"/>
    <w:rsid w:val="004B64B8"/>
    <w:rsid w:val="004F002F"/>
    <w:rsid w:val="00504F54"/>
    <w:rsid w:val="00511771"/>
    <w:rsid w:val="00536D9A"/>
    <w:rsid w:val="00550306"/>
    <w:rsid w:val="0056063D"/>
    <w:rsid w:val="00567343"/>
    <w:rsid w:val="005A2745"/>
    <w:rsid w:val="005D75C9"/>
    <w:rsid w:val="005E010A"/>
    <w:rsid w:val="00610A52"/>
    <w:rsid w:val="00620AE2"/>
    <w:rsid w:val="00643847"/>
    <w:rsid w:val="00685286"/>
    <w:rsid w:val="006A050F"/>
    <w:rsid w:val="006C47E9"/>
    <w:rsid w:val="006F782C"/>
    <w:rsid w:val="0073638B"/>
    <w:rsid w:val="007440F4"/>
    <w:rsid w:val="00774239"/>
    <w:rsid w:val="007D308B"/>
    <w:rsid w:val="00871072"/>
    <w:rsid w:val="00890960"/>
    <w:rsid w:val="008B787F"/>
    <w:rsid w:val="008E1C0A"/>
    <w:rsid w:val="00904B41"/>
    <w:rsid w:val="00947F90"/>
    <w:rsid w:val="009834FF"/>
    <w:rsid w:val="009E7C9A"/>
    <w:rsid w:val="00A007EB"/>
    <w:rsid w:val="00A41E70"/>
    <w:rsid w:val="00A7405D"/>
    <w:rsid w:val="00AC620D"/>
    <w:rsid w:val="00AD0146"/>
    <w:rsid w:val="00AD5E9E"/>
    <w:rsid w:val="00B517F1"/>
    <w:rsid w:val="00B536BD"/>
    <w:rsid w:val="00B63A7F"/>
    <w:rsid w:val="00BC407F"/>
    <w:rsid w:val="00C211B4"/>
    <w:rsid w:val="00CE2C39"/>
    <w:rsid w:val="00D47BE4"/>
    <w:rsid w:val="00D61739"/>
    <w:rsid w:val="00DC6934"/>
    <w:rsid w:val="00DE0809"/>
    <w:rsid w:val="00EE464B"/>
    <w:rsid w:val="00F2067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2CA3A"/>
  <w15:chartTrackingRefBased/>
  <w15:docId w15:val="{69F72C3A-63AA-4788-A5CF-957DB0A8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D75C9"/>
    <w:rPr>
      <w:rFonts w:ascii="Calibri" w:eastAsia="Calibri" w:hAnsi="Calibri" w:cs="Times New Roman"/>
    </w:rPr>
  </w:style>
  <w:style w:type="paragraph" w:styleId="Antrat1">
    <w:name w:val="heading 1"/>
    <w:basedOn w:val="prastasis"/>
    <w:next w:val="prastasis"/>
    <w:link w:val="Antrat1Diagrama"/>
    <w:uiPriority w:val="9"/>
    <w:qFormat/>
    <w:rsid w:val="002646B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Antrat2">
    <w:name w:val="heading 2"/>
    <w:basedOn w:val="prastasis"/>
    <w:next w:val="prastasis"/>
    <w:link w:val="Antrat2Diagrama"/>
    <w:uiPriority w:val="9"/>
    <w:semiHidden/>
    <w:unhideWhenUsed/>
    <w:qFormat/>
    <w:rsid w:val="002646B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Antrat3">
    <w:name w:val="heading 3"/>
    <w:basedOn w:val="prastasis"/>
    <w:next w:val="prastasis"/>
    <w:link w:val="Antrat3Diagrama"/>
    <w:uiPriority w:val="9"/>
    <w:semiHidden/>
    <w:unhideWhenUsed/>
    <w:qFormat/>
    <w:rsid w:val="002646BA"/>
    <w:pPr>
      <w:keepNext/>
      <w:keepLines/>
      <w:spacing w:before="160" w:after="80"/>
      <w:outlineLvl w:val="2"/>
    </w:pPr>
    <w:rPr>
      <w:rFonts w:eastAsiaTheme="majorEastAsia" w:cstheme="majorBidi"/>
      <w:color w:val="365F91" w:themeColor="accent1" w:themeShade="BF"/>
      <w:sz w:val="28"/>
      <w:szCs w:val="28"/>
    </w:rPr>
  </w:style>
  <w:style w:type="paragraph" w:styleId="Antrat4">
    <w:name w:val="heading 4"/>
    <w:basedOn w:val="prastasis"/>
    <w:next w:val="prastasis"/>
    <w:link w:val="Antrat4Diagrama"/>
    <w:uiPriority w:val="9"/>
    <w:semiHidden/>
    <w:unhideWhenUsed/>
    <w:qFormat/>
    <w:rsid w:val="002646BA"/>
    <w:pPr>
      <w:keepNext/>
      <w:keepLines/>
      <w:spacing w:before="80" w:after="40"/>
      <w:outlineLvl w:val="3"/>
    </w:pPr>
    <w:rPr>
      <w:rFonts w:eastAsiaTheme="majorEastAsia" w:cstheme="majorBidi"/>
      <w:i/>
      <w:iCs/>
      <w:color w:val="365F91" w:themeColor="accent1" w:themeShade="BF"/>
    </w:rPr>
  </w:style>
  <w:style w:type="paragraph" w:styleId="Antrat5">
    <w:name w:val="heading 5"/>
    <w:basedOn w:val="prastasis"/>
    <w:next w:val="prastasis"/>
    <w:link w:val="Antrat5Diagrama"/>
    <w:uiPriority w:val="9"/>
    <w:semiHidden/>
    <w:unhideWhenUsed/>
    <w:qFormat/>
    <w:rsid w:val="002646BA"/>
    <w:pPr>
      <w:keepNext/>
      <w:keepLines/>
      <w:spacing w:before="80" w:after="40"/>
      <w:outlineLvl w:val="4"/>
    </w:pPr>
    <w:rPr>
      <w:rFonts w:eastAsiaTheme="majorEastAsia" w:cstheme="majorBidi"/>
      <w:color w:val="365F91" w:themeColor="accent1" w:themeShade="BF"/>
    </w:rPr>
  </w:style>
  <w:style w:type="paragraph" w:styleId="Antrat6">
    <w:name w:val="heading 6"/>
    <w:basedOn w:val="prastasis"/>
    <w:next w:val="prastasis"/>
    <w:link w:val="Antrat6Diagrama"/>
    <w:uiPriority w:val="9"/>
    <w:semiHidden/>
    <w:unhideWhenUsed/>
    <w:qFormat/>
    <w:rsid w:val="002646BA"/>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2646BA"/>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2646BA"/>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2646BA"/>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646BA"/>
    <w:rPr>
      <w:rFonts w:asciiTheme="majorHAnsi" w:eastAsiaTheme="majorEastAsia" w:hAnsiTheme="majorHAnsi" w:cstheme="majorBidi"/>
      <w:color w:val="365F91" w:themeColor="accent1" w:themeShade="BF"/>
      <w:sz w:val="40"/>
      <w:szCs w:val="40"/>
    </w:rPr>
  </w:style>
  <w:style w:type="character" w:customStyle="1" w:styleId="Antrat2Diagrama">
    <w:name w:val="Antraštė 2 Diagrama"/>
    <w:basedOn w:val="Numatytasispastraiposriftas"/>
    <w:link w:val="Antrat2"/>
    <w:uiPriority w:val="9"/>
    <w:semiHidden/>
    <w:rsid w:val="002646BA"/>
    <w:rPr>
      <w:rFonts w:asciiTheme="majorHAnsi" w:eastAsiaTheme="majorEastAsia" w:hAnsiTheme="majorHAnsi" w:cstheme="majorBidi"/>
      <w:color w:val="365F91" w:themeColor="accent1" w:themeShade="BF"/>
      <w:sz w:val="32"/>
      <w:szCs w:val="32"/>
    </w:rPr>
  </w:style>
  <w:style w:type="character" w:customStyle="1" w:styleId="Antrat3Diagrama">
    <w:name w:val="Antraštė 3 Diagrama"/>
    <w:basedOn w:val="Numatytasispastraiposriftas"/>
    <w:link w:val="Antrat3"/>
    <w:uiPriority w:val="9"/>
    <w:semiHidden/>
    <w:rsid w:val="002646BA"/>
    <w:rPr>
      <w:rFonts w:eastAsiaTheme="majorEastAsia" w:cstheme="majorBidi"/>
      <w:color w:val="365F91" w:themeColor="accent1" w:themeShade="BF"/>
      <w:sz w:val="28"/>
      <w:szCs w:val="28"/>
    </w:rPr>
  </w:style>
  <w:style w:type="character" w:customStyle="1" w:styleId="Antrat4Diagrama">
    <w:name w:val="Antraštė 4 Diagrama"/>
    <w:basedOn w:val="Numatytasispastraiposriftas"/>
    <w:link w:val="Antrat4"/>
    <w:uiPriority w:val="9"/>
    <w:semiHidden/>
    <w:rsid w:val="002646BA"/>
    <w:rPr>
      <w:rFonts w:eastAsiaTheme="majorEastAsia" w:cstheme="majorBidi"/>
      <w:i/>
      <w:iCs/>
      <w:color w:val="365F91" w:themeColor="accent1" w:themeShade="BF"/>
    </w:rPr>
  </w:style>
  <w:style w:type="character" w:customStyle="1" w:styleId="Antrat5Diagrama">
    <w:name w:val="Antraštė 5 Diagrama"/>
    <w:basedOn w:val="Numatytasispastraiposriftas"/>
    <w:link w:val="Antrat5"/>
    <w:uiPriority w:val="9"/>
    <w:semiHidden/>
    <w:rsid w:val="002646BA"/>
    <w:rPr>
      <w:rFonts w:eastAsiaTheme="majorEastAsia" w:cstheme="majorBidi"/>
      <w:color w:val="365F91" w:themeColor="accent1" w:themeShade="BF"/>
    </w:rPr>
  </w:style>
  <w:style w:type="character" w:customStyle="1" w:styleId="Antrat6Diagrama">
    <w:name w:val="Antraštė 6 Diagrama"/>
    <w:basedOn w:val="Numatytasispastraiposriftas"/>
    <w:link w:val="Antrat6"/>
    <w:uiPriority w:val="9"/>
    <w:semiHidden/>
    <w:rsid w:val="002646BA"/>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2646BA"/>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2646BA"/>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2646BA"/>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2646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2646BA"/>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2646BA"/>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2646BA"/>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2646BA"/>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2646BA"/>
    <w:rPr>
      <w:i/>
      <w:iCs/>
      <w:color w:val="404040" w:themeColor="text1" w:themeTint="BF"/>
    </w:rPr>
  </w:style>
  <w:style w:type="paragraph" w:styleId="Sraopastraipa">
    <w:name w:val="List Paragraph"/>
    <w:basedOn w:val="prastasis"/>
    <w:uiPriority w:val="34"/>
    <w:qFormat/>
    <w:rsid w:val="002646BA"/>
    <w:pPr>
      <w:ind w:left="720"/>
      <w:contextualSpacing/>
    </w:pPr>
  </w:style>
  <w:style w:type="character" w:styleId="Rykuspabraukimas">
    <w:name w:val="Intense Emphasis"/>
    <w:basedOn w:val="Numatytasispastraiposriftas"/>
    <w:uiPriority w:val="21"/>
    <w:qFormat/>
    <w:rsid w:val="002646BA"/>
    <w:rPr>
      <w:i/>
      <w:iCs/>
      <w:color w:val="365F91" w:themeColor="accent1" w:themeShade="BF"/>
    </w:rPr>
  </w:style>
  <w:style w:type="paragraph" w:styleId="Iskirtacitata">
    <w:name w:val="Intense Quote"/>
    <w:basedOn w:val="prastasis"/>
    <w:next w:val="prastasis"/>
    <w:link w:val="IskirtacitataDiagrama"/>
    <w:uiPriority w:val="30"/>
    <w:qFormat/>
    <w:rsid w:val="002646B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skirtacitataDiagrama">
    <w:name w:val="Išskirta citata Diagrama"/>
    <w:basedOn w:val="Numatytasispastraiposriftas"/>
    <w:link w:val="Iskirtacitata"/>
    <w:uiPriority w:val="30"/>
    <w:rsid w:val="002646BA"/>
    <w:rPr>
      <w:i/>
      <w:iCs/>
      <w:color w:val="365F91" w:themeColor="accent1" w:themeShade="BF"/>
    </w:rPr>
  </w:style>
  <w:style w:type="character" w:styleId="Rykinuoroda">
    <w:name w:val="Intense Reference"/>
    <w:basedOn w:val="Numatytasispastraiposriftas"/>
    <w:uiPriority w:val="32"/>
    <w:qFormat/>
    <w:rsid w:val="002646BA"/>
    <w:rPr>
      <w:b/>
      <w:bCs/>
      <w:smallCaps/>
      <w:color w:val="365F91" w:themeColor="accent1" w:themeShade="BF"/>
      <w:spacing w:val="5"/>
    </w:rPr>
  </w:style>
  <w:style w:type="paragraph" w:styleId="Antrats">
    <w:name w:val="header"/>
    <w:basedOn w:val="prastasis"/>
    <w:link w:val="AntratsDiagrama"/>
    <w:uiPriority w:val="99"/>
    <w:unhideWhenUsed/>
    <w:rsid w:val="005D75C9"/>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5D75C9"/>
    <w:rPr>
      <w:rFonts w:ascii="Calibri" w:eastAsia="Calibri" w:hAnsi="Calibri" w:cs="Times New Roman"/>
    </w:rPr>
  </w:style>
  <w:style w:type="paragraph" w:styleId="Porat">
    <w:name w:val="footer"/>
    <w:basedOn w:val="prastasis"/>
    <w:link w:val="PoratDiagrama"/>
    <w:uiPriority w:val="99"/>
    <w:unhideWhenUsed/>
    <w:rsid w:val="00567343"/>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56734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660</Words>
  <Characters>4028</Characters>
  <Application>Microsoft Office Word</Application>
  <DocSecurity>0</DocSecurity>
  <Lines>74</Lines>
  <Paragraphs>30</Paragraphs>
  <ScaleCrop>false</ScaleCrop>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Eidukevičienė</dc:creator>
  <cp:keywords/>
  <dc:description/>
  <cp:lastModifiedBy>Jurgita Eidukevičienė</cp:lastModifiedBy>
  <cp:revision>4</cp:revision>
  <dcterms:created xsi:type="dcterms:W3CDTF">2024-12-11T14:45:00Z</dcterms:created>
  <dcterms:modified xsi:type="dcterms:W3CDTF">2024-12-11T14:49:00Z</dcterms:modified>
</cp:coreProperties>
</file>