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1355F"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 xml:space="preserve">1. Sukroferinio oksihidroksido dalelės, apimančios geležies(III)-oksihidroksido, sacharozės ir vieno arba daugiau krakmolų mišinį, kur: </w:t>
      </w:r>
    </w:p>
    <w:p w14:paraId="5889412C"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 mažiausiai 40 tūrio % dalelių pagal dalelių dydžio pasiskirstymą yra nuo 4 iki 200 µm, ir</w:t>
      </w:r>
    </w:p>
    <w:p w14:paraId="24960FA6"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ii) dalelės turi d50 pagal tūrį, dalelėms pasiskirstant pagal dydį, nuo 30 µm iki 80 µm.</w:t>
      </w:r>
    </w:p>
    <w:p w14:paraId="2BE324E7"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kur dalelių dydžio pasiskirstymas yra išmatuotas lazerine difrakcija, kaip čia apibrėžta.</w:t>
      </w:r>
    </w:p>
    <w:p w14:paraId="440B8457" w14:textId="77777777" w:rsidR="00BF7857" w:rsidRPr="00BF7857" w:rsidRDefault="00BF7857" w:rsidP="00BF7857">
      <w:pPr>
        <w:spacing w:after="0" w:line="360" w:lineRule="auto"/>
        <w:jc w:val="both"/>
        <w:rPr>
          <w:rFonts w:ascii="Helvetica" w:hAnsi="Helvetica" w:cs="Arial"/>
          <w:sz w:val="20"/>
          <w:lang w:val="lt-LT"/>
        </w:rPr>
      </w:pPr>
    </w:p>
    <w:p w14:paraId="08E0CFF5"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2. Sukroferinio oksihidroksido dalelės pagal 1 punktą, apimančios krakmolų mišinį.</w:t>
      </w:r>
    </w:p>
    <w:p w14:paraId="33968F05" w14:textId="77777777" w:rsidR="00BF7857" w:rsidRPr="00BF7857" w:rsidRDefault="00BF7857" w:rsidP="00BF7857">
      <w:pPr>
        <w:spacing w:after="0" w:line="360" w:lineRule="auto"/>
        <w:jc w:val="both"/>
        <w:rPr>
          <w:rFonts w:ascii="Helvetica" w:hAnsi="Helvetica" w:cs="Arial"/>
          <w:sz w:val="20"/>
          <w:lang w:val="lt-LT"/>
        </w:rPr>
      </w:pPr>
    </w:p>
    <w:p w14:paraId="31F98251"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3. Sukroferinio oksihidroksido dalelių pagal 1 arba 2 punktą panaudojimas presuotos tabletės gamybai.</w:t>
      </w:r>
    </w:p>
    <w:p w14:paraId="4C092C8D" w14:textId="77777777" w:rsidR="00BF7857" w:rsidRPr="00BF7857" w:rsidRDefault="00BF7857" w:rsidP="00BF7857">
      <w:pPr>
        <w:spacing w:after="0" w:line="360" w:lineRule="auto"/>
        <w:jc w:val="both"/>
        <w:rPr>
          <w:rFonts w:ascii="Helvetica" w:hAnsi="Helvetica" w:cs="Arial"/>
          <w:sz w:val="20"/>
          <w:lang w:val="lt-LT"/>
        </w:rPr>
      </w:pPr>
    </w:p>
    <w:p w14:paraId="16FEEFDF"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4. Panaudojimas pagal 3 punktą, kur presuota tabletė apima mažiausiai vieną papildomą farmaciniu požiūriu priimtiną pagalbinę medžiagą, ir kur mažiausiai 60 tūrio %, mažiausiai 80 tūrio % arba mažiausiai 90 tūrio % sukroferinio oksihidroksido dalelių yra nuo 4 iki 200 µm arba nuo 5 iki 160 µm, arba nuo 21 iki 160 µm.</w:t>
      </w:r>
    </w:p>
    <w:p w14:paraId="4D44FEE6" w14:textId="77777777" w:rsidR="00BF7857" w:rsidRPr="00BF7857" w:rsidRDefault="00BF7857" w:rsidP="00BF7857">
      <w:pPr>
        <w:spacing w:after="0" w:line="360" w:lineRule="auto"/>
        <w:jc w:val="both"/>
        <w:rPr>
          <w:rFonts w:ascii="Helvetica" w:hAnsi="Helvetica" w:cs="Arial"/>
          <w:sz w:val="20"/>
          <w:lang w:val="lt-LT"/>
        </w:rPr>
      </w:pPr>
    </w:p>
    <w:p w14:paraId="6AF3A2EE"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5. Panaudojimas pagal 3 punktą, kur presuota tabletė apima mažiausiai vieną papildomą farmaciniu požiūriu priimtiną pagalbinę medžiagą, ir kur sukroferinio oksihidroksido dalelės pasiskirsto pagal dydį su d50 pagal tūrį nuo 40 µm iki 80 µm arba nuo 42 µm iki 75 µm.</w:t>
      </w:r>
    </w:p>
    <w:p w14:paraId="1FBE7B73" w14:textId="77777777" w:rsidR="00BF7857" w:rsidRPr="00BF7857" w:rsidRDefault="00BF7857" w:rsidP="00BF7857">
      <w:pPr>
        <w:spacing w:after="0" w:line="360" w:lineRule="auto"/>
        <w:jc w:val="both"/>
        <w:rPr>
          <w:rFonts w:ascii="Helvetica" w:hAnsi="Helvetica" w:cs="Arial"/>
          <w:sz w:val="20"/>
          <w:lang w:val="lt-LT"/>
        </w:rPr>
      </w:pPr>
    </w:p>
    <w:p w14:paraId="6992AF56"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6. Panaudojimas pagal 3 punktą, kur yra tenkinama viena arba daugiau, arba visos iš šių požymių:</w:t>
      </w:r>
    </w:p>
    <w:p w14:paraId="3B5D57CD"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 tabletės kietumas yra nuo 70 iki 250 N,</w:t>
      </w:r>
    </w:p>
    <w:p w14:paraId="06FE19FC"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ii) tabletės trapumas yra nuo 0 % iki 7 % arba nuo 0,05 % iki 7 %.</w:t>
      </w:r>
    </w:p>
    <w:p w14:paraId="5D378919"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iii) tabletės suirimo laikas yra trumpesnis nei 30 min. arba nuo 5 iki 20 min.,</w:t>
      </w:r>
    </w:p>
    <w:p w14:paraId="369378E5"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iv) tabletės skersmuo yra nuo 16 mm iki 30 mm, tabletės svoris yra nuo 1500 mg iki 3000 mg (pageidautina nuo 2000 iki 3000 mg), ir tabletės storis yra nuo 4,5 mm iki 7,5 mm.</w:t>
      </w:r>
    </w:p>
    <w:p w14:paraId="5291C9D9" w14:textId="77777777" w:rsidR="00BF7857" w:rsidRPr="00BF7857" w:rsidRDefault="00BF7857" w:rsidP="00BF7857">
      <w:pPr>
        <w:spacing w:after="0" w:line="360" w:lineRule="auto"/>
        <w:jc w:val="both"/>
        <w:rPr>
          <w:rFonts w:ascii="Helvetica" w:hAnsi="Helvetica" w:cs="Arial"/>
          <w:sz w:val="20"/>
          <w:lang w:val="lt-LT"/>
        </w:rPr>
      </w:pPr>
    </w:p>
    <w:p w14:paraId="3DF96FCF"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7. Panaudojimas pagal 3 arba 6 punktą, kur:</w:t>
      </w:r>
    </w:p>
    <w:p w14:paraId="25433A35"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 tabletės skersmuo yra nuo 16 mm iki 30 mm, ir tabletės svoris yra nuo 1500 mg iki 3000 mg, ir tabletės storis yra nuo 4,5 mm iki 7,5 mm, ir</w:t>
      </w:r>
    </w:p>
    <w:p w14:paraId="1F1CCD36"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ii) tabletėje yra nuo 1500 mg iki 3000 mg sukroferinio oksihidroksido.</w:t>
      </w:r>
    </w:p>
    <w:p w14:paraId="2EF94ECF" w14:textId="77777777" w:rsidR="00BF7857" w:rsidRPr="00BF7857" w:rsidRDefault="00BF7857" w:rsidP="00BF7857">
      <w:pPr>
        <w:spacing w:after="0" w:line="360" w:lineRule="auto"/>
        <w:jc w:val="both"/>
        <w:rPr>
          <w:rFonts w:ascii="Helvetica" w:hAnsi="Helvetica" w:cs="Arial"/>
          <w:sz w:val="20"/>
          <w:lang w:val="lt-LT"/>
        </w:rPr>
      </w:pPr>
    </w:p>
    <w:p w14:paraId="2D512BE6" w14:textId="736D51FE"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8. Panaudojimas pagal bet kurį iš ankstesnių 3</w:t>
      </w:r>
      <w:r w:rsidR="000151F5">
        <w:rPr>
          <w:rFonts w:ascii="Helvetica" w:hAnsi="Helvetica" w:cs="Arial"/>
          <w:sz w:val="20"/>
          <w:lang w:val="lt-LT"/>
        </w:rPr>
        <w:t>–</w:t>
      </w:r>
      <w:r w:rsidRPr="00BF7857">
        <w:rPr>
          <w:rFonts w:ascii="Helvetica" w:hAnsi="Helvetica" w:cs="Arial"/>
          <w:sz w:val="20"/>
          <w:lang w:val="lt-LT"/>
        </w:rPr>
        <w:t>7 punktų, kuris yra skirtas tiesiogiai presuotos tabletės gamybai.</w:t>
      </w:r>
    </w:p>
    <w:p w14:paraId="1E0DE216" w14:textId="77777777" w:rsidR="00BF7857" w:rsidRPr="00BF7857" w:rsidRDefault="00BF7857" w:rsidP="00BF7857">
      <w:pPr>
        <w:spacing w:after="0" w:line="360" w:lineRule="auto"/>
        <w:jc w:val="both"/>
        <w:rPr>
          <w:rFonts w:ascii="Helvetica" w:hAnsi="Helvetica" w:cs="Arial"/>
          <w:sz w:val="20"/>
          <w:lang w:val="lt-LT"/>
        </w:rPr>
      </w:pPr>
    </w:p>
    <w:p w14:paraId="15A71D11" w14:textId="795AACCF"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9. Panaudojimas pagal bet kurį iš ankstesnių 3</w:t>
      </w:r>
      <w:r w:rsidR="000151F5">
        <w:rPr>
          <w:rFonts w:ascii="Helvetica" w:hAnsi="Helvetica" w:cs="Arial"/>
          <w:sz w:val="20"/>
          <w:lang w:val="lt-LT"/>
        </w:rPr>
        <w:t>–</w:t>
      </w:r>
      <w:r w:rsidRPr="00BF7857">
        <w:rPr>
          <w:rFonts w:ascii="Helvetica" w:hAnsi="Helvetica" w:cs="Arial"/>
          <w:sz w:val="20"/>
          <w:lang w:val="lt-LT"/>
        </w:rPr>
        <w:t>8 punktų, kur sukroferinio oksihidroksido dalelės sudaro daugiau nei 65 % arba daugiau nei 80 % viso tabletės svorio (pagal svorį sausos masės pagrindu).</w:t>
      </w:r>
    </w:p>
    <w:p w14:paraId="4712DC0F" w14:textId="77777777" w:rsidR="00BF7857" w:rsidRPr="00BF7857" w:rsidRDefault="00BF7857" w:rsidP="00BF7857">
      <w:pPr>
        <w:spacing w:after="0" w:line="360" w:lineRule="auto"/>
        <w:jc w:val="both"/>
        <w:rPr>
          <w:rFonts w:ascii="Helvetica" w:hAnsi="Helvetica" w:cs="Arial"/>
          <w:sz w:val="20"/>
          <w:lang w:val="lt-LT"/>
        </w:rPr>
      </w:pPr>
    </w:p>
    <w:p w14:paraId="3990FED8" w14:textId="0691A60C"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10. Panaudojimas pagal 3</w:t>
      </w:r>
      <w:r w:rsidR="0000351C">
        <w:rPr>
          <w:rFonts w:ascii="Helvetica" w:hAnsi="Helvetica" w:cs="Arial"/>
          <w:sz w:val="20"/>
          <w:lang w:val="lt-LT"/>
        </w:rPr>
        <w:t>–</w:t>
      </w:r>
      <w:r w:rsidRPr="00BF7857">
        <w:rPr>
          <w:rFonts w:ascii="Helvetica" w:hAnsi="Helvetica" w:cs="Arial"/>
          <w:sz w:val="20"/>
          <w:lang w:val="lt-LT"/>
        </w:rPr>
        <w:t>9 punktus, kuris yra skirtas kramtomos tabletės gamybai.</w:t>
      </w:r>
    </w:p>
    <w:p w14:paraId="0A8D84AE" w14:textId="77777777" w:rsidR="00BF7857" w:rsidRPr="00BF7857" w:rsidRDefault="00BF7857" w:rsidP="00BF7857">
      <w:pPr>
        <w:spacing w:after="0" w:line="360" w:lineRule="auto"/>
        <w:jc w:val="both"/>
        <w:rPr>
          <w:rFonts w:ascii="Helvetica" w:hAnsi="Helvetica" w:cs="Arial"/>
          <w:sz w:val="20"/>
          <w:lang w:val="lt-LT"/>
        </w:rPr>
      </w:pPr>
    </w:p>
    <w:p w14:paraId="7227C360"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t>11. Farmacinė kompozicija, kurios sudėtyje yra sukroferinio oksihidroksido dalelės pagal 1 arba 2 punktą ir mažiausiai viena farmaciniu požiūriu priimtina pagalbinė medžiaga.</w:t>
      </w:r>
    </w:p>
    <w:p w14:paraId="7A7F349B" w14:textId="77777777" w:rsidR="00BF7857" w:rsidRPr="00BF7857" w:rsidRDefault="00BF7857" w:rsidP="00BF7857">
      <w:pPr>
        <w:spacing w:after="0" w:line="360" w:lineRule="auto"/>
        <w:jc w:val="both"/>
        <w:rPr>
          <w:rFonts w:ascii="Helvetica" w:hAnsi="Helvetica" w:cs="Arial"/>
          <w:sz w:val="20"/>
          <w:lang w:val="lt-LT"/>
        </w:rPr>
      </w:pPr>
    </w:p>
    <w:p w14:paraId="7D120C86" w14:textId="77777777" w:rsidR="00BF7857" w:rsidRPr="00BF7857" w:rsidRDefault="00BF7857" w:rsidP="00BF7857">
      <w:pPr>
        <w:spacing w:after="0" w:line="360" w:lineRule="auto"/>
        <w:ind w:firstLine="567"/>
        <w:jc w:val="both"/>
        <w:rPr>
          <w:rFonts w:ascii="Helvetica" w:hAnsi="Helvetica" w:cs="Arial"/>
          <w:sz w:val="20"/>
          <w:lang w:val="lt-LT"/>
        </w:rPr>
      </w:pPr>
      <w:r w:rsidRPr="00BF7857">
        <w:rPr>
          <w:rFonts w:ascii="Helvetica" w:hAnsi="Helvetica" w:cs="Arial"/>
          <w:sz w:val="20"/>
          <w:lang w:val="lt-LT"/>
        </w:rPr>
        <w:lastRenderedPageBreak/>
        <w:t>12. Sukroferinio oksihidroksido dalelės, apimančios geležies(III)-oksihidroksido, sacharozės ir vieno arba daugiau krakmolų mišinį, kur:</w:t>
      </w:r>
    </w:p>
    <w:p w14:paraId="38777860"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iii) mažiausiai 40 tūrio % dalelių pagal dalelių dydžio pasiskirstymą yra nuo 4 iki 200 µm, ir</w:t>
      </w:r>
    </w:p>
    <w:p w14:paraId="5A51D2EA" w14:textId="77777777" w:rsidR="00BF7857" w:rsidRPr="00BF7857"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iv) dalelės turi d50 pagal tūrį, dalelėms pasiskirstant pagal dydį, nuo 30 µm iki 80 µm,</w:t>
      </w:r>
    </w:p>
    <w:p w14:paraId="0DB54C55" w14:textId="418B0602" w:rsidR="0018473C" w:rsidRPr="00324EB9" w:rsidRDefault="00BF7857" w:rsidP="00BF7857">
      <w:pPr>
        <w:spacing w:after="0" w:line="360" w:lineRule="auto"/>
        <w:jc w:val="both"/>
        <w:rPr>
          <w:rFonts w:ascii="Helvetica" w:hAnsi="Helvetica" w:cs="Arial"/>
          <w:sz w:val="20"/>
          <w:lang w:val="lt-LT"/>
        </w:rPr>
      </w:pPr>
      <w:r w:rsidRPr="00BF7857">
        <w:rPr>
          <w:rFonts w:ascii="Helvetica" w:hAnsi="Helvetica" w:cs="Arial"/>
          <w:sz w:val="20"/>
          <w:lang w:val="lt-LT"/>
        </w:rPr>
        <w:t>kur dalelių dydžio pasiskirstymas yra išmatuotas lazerine difrakcija, kaip čia apibrėžta, skirtos panaudoti taikant nesubalansuoto fosfatų lygio ir būklių, atsirandančių dėl nesubalansuoto fosfatų lygio, gydymą, visų pirma skirtos terapiniam panaudojimui, kontroliuojant fosforo lygį pacientų, sergančių lėtinėmis inkstų ligomis (LIL), kuriems atliekama dializė arba gydoma hiperfosfatemija, serume.</w:t>
      </w:r>
    </w:p>
    <w:sectPr w:rsidR="0018473C" w:rsidRPr="00324EB9" w:rsidSect="00BF7857">
      <w:pgSz w:w="11906" w:h="16838" w:code="9"/>
      <w:pgMar w:top="1134" w:right="567" w:bottom="567" w:left="1701"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1A26" w14:textId="77777777" w:rsidR="004E1BC7" w:rsidRDefault="004E1BC7" w:rsidP="00BF7857">
      <w:pPr>
        <w:spacing w:after="0" w:line="240" w:lineRule="auto"/>
      </w:pPr>
      <w:r>
        <w:separator/>
      </w:r>
    </w:p>
  </w:endnote>
  <w:endnote w:type="continuationSeparator" w:id="0">
    <w:p w14:paraId="68042929" w14:textId="77777777" w:rsidR="004E1BC7" w:rsidRDefault="004E1BC7" w:rsidP="00BF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60C07" w14:textId="77777777" w:rsidR="004E1BC7" w:rsidRDefault="004E1BC7" w:rsidP="00BF7857">
      <w:pPr>
        <w:spacing w:after="0" w:line="240" w:lineRule="auto"/>
      </w:pPr>
      <w:r>
        <w:separator/>
      </w:r>
    </w:p>
  </w:footnote>
  <w:footnote w:type="continuationSeparator" w:id="0">
    <w:p w14:paraId="72533B12" w14:textId="77777777" w:rsidR="004E1BC7" w:rsidRDefault="004E1BC7" w:rsidP="00BF7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D0A94"/>
    <w:rsid w:val="0000351C"/>
    <w:rsid w:val="000151F5"/>
    <w:rsid w:val="001603B1"/>
    <w:rsid w:val="0018473C"/>
    <w:rsid w:val="00276E95"/>
    <w:rsid w:val="0028658E"/>
    <w:rsid w:val="002B7DF2"/>
    <w:rsid w:val="002C37E5"/>
    <w:rsid w:val="002C447F"/>
    <w:rsid w:val="00324EB9"/>
    <w:rsid w:val="00362981"/>
    <w:rsid w:val="00365F5C"/>
    <w:rsid w:val="003D0A94"/>
    <w:rsid w:val="004E1BC7"/>
    <w:rsid w:val="00515B8F"/>
    <w:rsid w:val="00575236"/>
    <w:rsid w:val="005A2745"/>
    <w:rsid w:val="005C2946"/>
    <w:rsid w:val="006A06C5"/>
    <w:rsid w:val="007668C7"/>
    <w:rsid w:val="008B5CBC"/>
    <w:rsid w:val="008C6247"/>
    <w:rsid w:val="00947F90"/>
    <w:rsid w:val="00A03151"/>
    <w:rsid w:val="00A24BCC"/>
    <w:rsid w:val="00A444E4"/>
    <w:rsid w:val="00BF7857"/>
    <w:rsid w:val="00C15C7F"/>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8F2B"/>
  <w15:chartTrackingRefBased/>
  <w15:docId w15:val="{699FA30A-F588-4D36-9D83-8D823CC8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857"/>
    <w:pPr>
      <w:spacing w:after="160" w:line="259" w:lineRule="auto"/>
    </w:pPr>
    <w:rPr>
      <w:rFonts w:ascii="Calibri" w:eastAsia="Calibri" w:hAnsi="Calibri"/>
      <w:sz w:val="22"/>
      <w:szCs w:val="22"/>
      <w:lang w:val="en-US" w:eastAsia="en-US"/>
    </w:rPr>
  </w:style>
  <w:style w:type="paragraph" w:styleId="Antrat1">
    <w:name w:val="heading 1"/>
    <w:basedOn w:val="prastasis"/>
    <w:next w:val="prastasis"/>
    <w:link w:val="Antrat1Diagrama"/>
    <w:uiPriority w:val="9"/>
    <w:qFormat/>
    <w:rsid w:val="003D0A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D0A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D0A9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D0A9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D0A94"/>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3D0A9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0A9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0A9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0A9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0A94"/>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3D0A94"/>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3D0A94"/>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3D0A94"/>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3D0A94"/>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3D0A94"/>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3D0A94"/>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3D0A94"/>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3D0A94"/>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3D0A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0A94"/>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3D0A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0A94"/>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3D0A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0A94"/>
    <w:rPr>
      <w:i/>
      <w:iCs/>
      <w:color w:val="404040" w:themeColor="text1" w:themeTint="BF"/>
      <w:lang w:eastAsia="en-US"/>
    </w:rPr>
  </w:style>
  <w:style w:type="paragraph" w:styleId="Sraopastraipa">
    <w:name w:val="List Paragraph"/>
    <w:basedOn w:val="prastasis"/>
    <w:uiPriority w:val="34"/>
    <w:qFormat/>
    <w:rsid w:val="003D0A94"/>
    <w:pPr>
      <w:ind w:left="720"/>
      <w:contextualSpacing/>
    </w:pPr>
  </w:style>
  <w:style w:type="character" w:styleId="Rykuspabraukimas">
    <w:name w:val="Intense Emphasis"/>
    <w:basedOn w:val="Numatytasispastraiposriftas"/>
    <w:uiPriority w:val="21"/>
    <w:qFormat/>
    <w:rsid w:val="003D0A94"/>
    <w:rPr>
      <w:i/>
      <w:iCs/>
      <w:color w:val="365F91" w:themeColor="accent1" w:themeShade="BF"/>
    </w:rPr>
  </w:style>
  <w:style w:type="paragraph" w:styleId="Iskirtacitata">
    <w:name w:val="Intense Quote"/>
    <w:basedOn w:val="prastasis"/>
    <w:next w:val="prastasis"/>
    <w:link w:val="IskirtacitataDiagrama"/>
    <w:uiPriority w:val="30"/>
    <w:qFormat/>
    <w:rsid w:val="003D0A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D0A94"/>
    <w:rPr>
      <w:i/>
      <w:iCs/>
      <w:color w:val="365F91" w:themeColor="accent1" w:themeShade="BF"/>
      <w:lang w:eastAsia="en-US"/>
    </w:rPr>
  </w:style>
  <w:style w:type="character" w:styleId="Rykinuoroda">
    <w:name w:val="Intense Reference"/>
    <w:basedOn w:val="Numatytasispastraiposriftas"/>
    <w:uiPriority w:val="32"/>
    <w:qFormat/>
    <w:rsid w:val="003D0A94"/>
    <w:rPr>
      <w:b/>
      <w:bCs/>
      <w:smallCaps/>
      <w:color w:val="365F91" w:themeColor="accent1" w:themeShade="BF"/>
      <w:spacing w:val="5"/>
    </w:rPr>
  </w:style>
  <w:style w:type="paragraph" w:styleId="Antrats">
    <w:name w:val="header"/>
    <w:basedOn w:val="prastasis"/>
    <w:link w:val="AntratsDiagrama"/>
    <w:uiPriority w:val="99"/>
    <w:unhideWhenUsed/>
    <w:rsid w:val="00BF785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857"/>
    <w:rPr>
      <w:rFonts w:ascii="Calibri" w:eastAsia="Calibri" w:hAnsi="Calibri"/>
      <w:sz w:val="22"/>
      <w:szCs w:val="22"/>
      <w:lang w:val="en-US" w:eastAsia="en-US"/>
    </w:rPr>
  </w:style>
  <w:style w:type="paragraph" w:styleId="Porat">
    <w:name w:val="footer"/>
    <w:basedOn w:val="prastasis"/>
    <w:link w:val="PoratDiagrama"/>
    <w:uiPriority w:val="99"/>
    <w:unhideWhenUsed/>
    <w:rsid w:val="00BF785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85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2714</Characters>
  <Application>Microsoft Office Word</Application>
  <DocSecurity>0</DocSecurity>
  <Lines>54</Lines>
  <Paragraphs>29</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6</cp:revision>
  <dcterms:created xsi:type="dcterms:W3CDTF">2024-05-13T11:15:00Z</dcterms:created>
  <dcterms:modified xsi:type="dcterms:W3CDTF">2024-05-13T11:17:00Z</dcterms:modified>
</cp:coreProperties>
</file>