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6F1F" w14:textId="0C28C45C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1.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gydant pirminę progresuojančią išsėtinę sklerozę, </w:t>
      </w:r>
      <w:r w:rsidR="0077268F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gydymas </w:t>
      </w:r>
      <w:r w:rsidR="0077268F" w:rsidRPr="0018618D">
        <w:rPr>
          <w:rFonts w:ascii="Helvetica" w:hAnsi="Helvetica"/>
          <w:color w:val="auto"/>
          <w:sz w:val="20"/>
        </w:rPr>
        <w:t>yra pagrįstas tuo, kad pacientas turi vieną arba daugiau savybių, parinktų iš grupės</w:t>
      </w:r>
      <w:r w:rsidR="00227C06" w:rsidRPr="0018618D">
        <w:rPr>
          <w:rFonts w:ascii="Helvetica" w:hAnsi="Helvetica"/>
          <w:color w:val="auto"/>
          <w:sz w:val="20"/>
        </w:rPr>
        <w:t xml:space="preserve">, kurią sudaro </w:t>
      </w:r>
      <w:r w:rsidR="0077268F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 xml:space="preserve">a) </w:t>
      </w:r>
      <w:r w:rsidR="0077268F" w:rsidRPr="0018618D">
        <w:rPr>
          <w:rFonts w:ascii="Helvetica" w:hAnsi="Helvetica"/>
          <w:color w:val="auto"/>
          <w:sz w:val="20"/>
        </w:rPr>
        <w:t xml:space="preserve">jis </w:t>
      </w:r>
      <w:r w:rsidR="00227C06" w:rsidRPr="0018618D">
        <w:rPr>
          <w:rFonts w:ascii="Helvetica" w:hAnsi="Helvetica"/>
          <w:color w:val="auto"/>
          <w:sz w:val="20"/>
        </w:rPr>
        <w:t>jaunesnis nei 51 metų amži</w:t>
      </w:r>
      <w:r w:rsidR="0077268F" w:rsidRPr="0018618D">
        <w:rPr>
          <w:rFonts w:ascii="Helvetica" w:hAnsi="Helvetica"/>
          <w:color w:val="auto"/>
          <w:sz w:val="20"/>
        </w:rPr>
        <w:t>a</w:t>
      </w:r>
      <w:r w:rsidR="00227C06" w:rsidRPr="0018618D">
        <w:rPr>
          <w:rFonts w:ascii="Helvetica" w:hAnsi="Helvetica"/>
          <w:color w:val="auto"/>
          <w:sz w:val="20"/>
        </w:rPr>
        <w:t xml:space="preserve">us, </w:t>
      </w:r>
      <w:r w:rsidR="0077268F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 xml:space="preserve">b) vienas ar daugiau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gadoliniu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</w:t>
      </w:r>
      <w:r w:rsidR="0077268F" w:rsidRPr="0018618D">
        <w:rPr>
          <w:rFonts w:ascii="Helvetica" w:hAnsi="Helvetica"/>
          <w:color w:val="auto"/>
          <w:sz w:val="20"/>
        </w:rPr>
        <w:t xml:space="preserve">nudažytų </w:t>
      </w:r>
      <w:r w:rsidR="00227C06" w:rsidRPr="0018618D">
        <w:rPr>
          <w:rFonts w:ascii="Helvetica" w:hAnsi="Helvetica"/>
          <w:color w:val="auto"/>
          <w:sz w:val="20"/>
        </w:rPr>
        <w:t xml:space="preserve">pažeidimų ir </w:t>
      </w:r>
      <w:r w:rsidR="0077268F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 xml:space="preserve">c) išsėtinės sklerozės sunkumo skalės (MSSS) įvertis, didesnis nei 5 balai, </w:t>
      </w:r>
      <w:r w:rsidR="0077268F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pacientui skiriamas veiksmingas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okrelizumabo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kiekis</w:t>
      </w:r>
      <w:r w:rsidR="00A55091" w:rsidRPr="0018618D">
        <w:rPr>
          <w:rFonts w:ascii="Helvetica" w:hAnsi="Helvetica"/>
          <w:color w:val="auto"/>
          <w:sz w:val="20"/>
        </w:rPr>
        <w:t xml:space="preserve"> tam</w:t>
      </w:r>
      <w:r w:rsidR="00227C06" w:rsidRPr="0018618D">
        <w:rPr>
          <w:rFonts w:ascii="Helvetica" w:hAnsi="Helvetica"/>
          <w:color w:val="auto"/>
          <w:sz w:val="20"/>
        </w:rPr>
        <w:t xml:space="preserve">, kad </w:t>
      </w:r>
      <w:r w:rsidR="0006403F" w:rsidRPr="0018618D">
        <w:rPr>
          <w:rFonts w:ascii="Helvetica" w:hAnsi="Helvetica"/>
          <w:color w:val="auto"/>
          <w:sz w:val="20"/>
        </w:rPr>
        <w:t xml:space="preserve">pacientui </w:t>
      </w:r>
      <w:r w:rsidR="00227C06" w:rsidRPr="0018618D">
        <w:rPr>
          <w:rFonts w:ascii="Helvetica" w:hAnsi="Helvetica"/>
          <w:color w:val="auto"/>
          <w:sz w:val="20"/>
        </w:rPr>
        <w:t xml:space="preserve">būtų </w:t>
      </w:r>
      <w:r w:rsidR="00A55091" w:rsidRPr="0018618D">
        <w:rPr>
          <w:rFonts w:ascii="Helvetica" w:hAnsi="Helvetica"/>
          <w:color w:val="auto"/>
          <w:sz w:val="20"/>
        </w:rPr>
        <w:t>užtikrinta</w:t>
      </w:r>
      <w:r w:rsidR="00D73166" w:rsidRPr="0018618D">
        <w:rPr>
          <w:rFonts w:ascii="Helvetica" w:hAnsi="Helvetica"/>
          <w:color w:val="auto"/>
          <w:sz w:val="20"/>
        </w:rPr>
        <w:t>s</w:t>
      </w:r>
      <w:r w:rsidR="0006403F" w:rsidRPr="0018618D">
        <w:rPr>
          <w:rFonts w:ascii="Helvetica" w:hAnsi="Helvetica"/>
          <w:color w:val="auto"/>
          <w:sz w:val="20"/>
        </w:rPr>
        <w:t xml:space="preserve"> pradin</w:t>
      </w:r>
      <w:r w:rsidR="00D73166" w:rsidRPr="0018618D">
        <w:rPr>
          <w:rFonts w:ascii="Helvetica" w:hAnsi="Helvetica"/>
          <w:color w:val="auto"/>
          <w:sz w:val="20"/>
        </w:rPr>
        <w:t>is</w:t>
      </w:r>
      <w:r w:rsidR="0006403F" w:rsidRPr="0018618D">
        <w:rPr>
          <w:rFonts w:ascii="Helvetica" w:hAnsi="Helvetica"/>
          <w:color w:val="auto"/>
          <w:sz w:val="20"/>
        </w:rPr>
        <w:t xml:space="preserve"> </w:t>
      </w:r>
      <w:proofErr w:type="spellStart"/>
      <w:r w:rsidR="0006403F" w:rsidRPr="0018618D">
        <w:rPr>
          <w:rFonts w:ascii="Helvetica" w:hAnsi="Helvetica"/>
          <w:color w:val="auto"/>
          <w:sz w:val="20"/>
        </w:rPr>
        <w:t>okrelizumabo</w:t>
      </w:r>
      <w:proofErr w:type="spellEnd"/>
      <w:r w:rsidR="00A55091" w:rsidRPr="0018618D">
        <w:rPr>
          <w:rFonts w:ascii="Helvetica" w:hAnsi="Helvetica"/>
          <w:color w:val="auto"/>
          <w:sz w:val="20"/>
        </w:rPr>
        <w:t xml:space="preserve"> </w:t>
      </w:r>
      <w:r w:rsidR="00227C06" w:rsidRPr="0018618D">
        <w:rPr>
          <w:rFonts w:ascii="Helvetica" w:hAnsi="Helvetica"/>
          <w:color w:val="auto"/>
          <w:sz w:val="20"/>
        </w:rPr>
        <w:t>0,6 gramo</w:t>
      </w:r>
      <w:r w:rsidR="0006403F" w:rsidRPr="0018618D">
        <w:rPr>
          <w:rFonts w:ascii="Helvetica" w:hAnsi="Helvetica"/>
          <w:color w:val="auto"/>
          <w:sz w:val="20"/>
        </w:rPr>
        <w:t xml:space="preserve"> </w:t>
      </w:r>
      <w:r w:rsidR="00D73166" w:rsidRPr="0018618D">
        <w:rPr>
          <w:rFonts w:ascii="Helvetica" w:hAnsi="Helvetica"/>
          <w:color w:val="auto"/>
          <w:sz w:val="20"/>
        </w:rPr>
        <w:t>poveikis</w:t>
      </w:r>
      <w:r w:rsidR="00227C06" w:rsidRPr="0018618D">
        <w:rPr>
          <w:rFonts w:ascii="Helvetica" w:hAnsi="Helvetica"/>
          <w:color w:val="auto"/>
          <w:sz w:val="20"/>
        </w:rPr>
        <w:t xml:space="preserve">, po </w:t>
      </w:r>
      <w:r w:rsidR="00D73166" w:rsidRPr="0018618D">
        <w:rPr>
          <w:rFonts w:ascii="Helvetica" w:hAnsi="Helvetica"/>
          <w:color w:val="auto"/>
          <w:sz w:val="20"/>
        </w:rPr>
        <w:t xml:space="preserve">to sektų </w:t>
      </w:r>
      <w:r w:rsidR="00227C06" w:rsidRPr="0018618D">
        <w:rPr>
          <w:rFonts w:ascii="Helvetica" w:hAnsi="Helvetica"/>
          <w:color w:val="auto"/>
          <w:sz w:val="20"/>
        </w:rPr>
        <w:t>antra</w:t>
      </w:r>
      <w:r w:rsidR="00D73166" w:rsidRPr="0018618D">
        <w:rPr>
          <w:rFonts w:ascii="Helvetica" w:hAnsi="Helvetica"/>
          <w:color w:val="auto"/>
          <w:sz w:val="20"/>
        </w:rPr>
        <w:t>s</w:t>
      </w:r>
      <w:r w:rsidR="00227C06" w:rsidRPr="0018618D">
        <w:rPr>
          <w:rFonts w:ascii="Helvetica" w:hAnsi="Helvetica"/>
          <w:color w:val="auto"/>
          <w:sz w:val="20"/>
        </w:rPr>
        <w:t xml:space="preserve"> 0,6 gramo</w:t>
      </w:r>
      <w:r w:rsidR="00D73166" w:rsidRPr="0018618D">
        <w:rPr>
          <w:rFonts w:ascii="Helvetica" w:hAnsi="Helvetica"/>
          <w:color w:val="auto"/>
          <w:sz w:val="20"/>
        </w:rPr>
        <w:t xml:space="preserve"> poveikis</w:t>
      </w:r>
      <w:r w:rsidR="00227C06" w:rsidRPr="0018618D">
        <w:rPr>
          <w:rFonts w:ascii="Helvetica" w:hAnsi="Helvetica"/>
          <w:color w:val="auto"/>
          <w:sz w:val="20"/>
        </w:rPr>
        <w:t xml:space="preserve">, </w:t>
      </w:r>
      <w:r w:rsidR="00D73166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antrasis </w:t>
      </w:r>
      <w:r w:rsidR="00D73166" w:rsidRPr="0018618D">
        <w:rPr>
          <w:rFonts w:ascii="Helvetica" w:hAnsi="Helvetica"/>
          <w:color w:val="auto"/>
          <w:sz w:val="20"/>
        </w:rPr>
        <w:t xml:space="preserve">poveikis </w:t>
      </w:r>
      <w:r w:rsidR="00227C06" w:rsidRPr="0018618D">
        <w:rPr>
          <w:rFonts w:ascii="Helvetica" w:hAnsi="Helvetica"/>
          <w:color w:val="auto"/>
          <w:sz w:val="20"/>
        </w:rPr>
        <w:t xml:space="preserve">skiriamas praėjus maždaug 24 savaitėms nuo pradinio </w:t>
      </w:r>
      <w:r w:rsidR="00D73166" w:rsidRPr="0018618D">
        <w:rPr>
          <w:rFonts w:ascii="Helvetica" w:hAnsi="Helvetica"/>
          <w:color w:val="auto"/>
          <w:sz w:val="20"/>
        </w:rPr>
        <w:t>poveikio,</w:t>
      </w:r>
      <w:r w:rsidR="00227C06" w:rsidRPr="0018618D">
        <w:rPr>
          <w:rFonts w:ascii="Helvetica" w:hAnsi="Helvetica"/>
          <w:color w:val="auto"/>
          <w:sz w:val="20"/>
        </w:rPr>
        <w:t xml:space="preserve"> ir kiekvienas iš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</w:t>
      </w:r>
      <w:r w:rsidR="00842A49" w:rsidRPr="0018618D">
        <w:rPr>
          <w:rFonts w:ascii="Helvetica" w:hAnsi="Helvetica"/>
          <w:color w:val="auto"/>
          <w:sz w:val="20"/>
        </w:rPr>
        <w:t>o</w:t>
      </w:r>
      <w:proofErr w:type="spellEnd"/>
      <w:r w:rsidR="00842A49" w:rsidRPr="0018618D">
        <w:rPr>
          <w:rFonts w:ascii="Helvetica" w:hAnsi="Helvetica"/>
          <w:color w:val="auto"/>
          <w:sz w:val="20"/>
        </w:rPr>
        <w:t xml:space="preserve"> poveikių</w:t>
      </w:r>
      <w:r w:rsidR="00227C06" w:rsidRPr="0018618D">
        <w:rPr>
          <w:rFonts w:ascii="Helvetica" w:hAnsi="Helvetica"/>
          <w:color w:val="auto"/>
          <w:sz w:val="20"/>
        </w:rPr>
        <w:t xml:space="preserve"> pacientui </w:t>
      </w:r>
      <w:r w:rsidR="00842A49" w:rsidRPr="0018618D">
        <w:rPr>
          <w:rFonts w:ascii="Helvetica" w:hAnsi="Helvetica"/>
          <w:color w:val="auto"/>
          <w:sz w:val="20"/>
        </w:rPr>
        <w:t xml:space="preserve">skiriamas kaip </w:t>
      </w:r>
      <w:r w:rsidR="00227C06" w:rsidRPr="0018618D">
        <w:rPr>
          <w:rFonts w:ascii="Helvetica" w:hAnsi="Helvetica"/>
          <w:color w:val="auto"/>
          <w:sz w:val="20"/>
        </w:rPr>
        <w:t xml:space="preserve">dvi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okrelizumabo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dozės, </w:t>
      </w:r>
      <w:r w:rsidR="00842A49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pirmoji ir antroji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okrelizumabo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dozės yra 0,3 gramo</w:t>
      </w:r>
      <w:r w:rsidR="00842A49" w:rsidRPr="0018618D">
        <w:rPr>
          <w:rFonts w:ascii="Helvetica" w:hAnsi="Helvetica"/>
          <w:color w:val="auto"/>
          <w:sz w:val="20"/>
        </w:rPr>
        <w:t>,</w:t>
      </w:r>
      <w:r w:rsidR="00227C06" w:rsidRPr="0018618D">
        <w:rPr>
          <w:rFonts w:ascii="Helvetica" w:hAnsi="Helvetica"/>
          <w:color w:val="auto"/>
          <w:sz w:val="20"/>
        </w:rPr>
        <w:t xml:space="preserve"> ir </w:t>
      </w:r>
      <w:r w:rsidR="00842A49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>antroji dozė skiriama praėjus 13–16 dienų nuo pirmosios dozės skyrimo.</w:t>
      </w:r>
    </w:p>
    <w:p w14:paraId="2CC8A3B0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7021C828" w14:textId="071B8855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2.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1 punktą, </w:t>
      </w:r>
      <w:r w:rsidR="00842A49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paciento mėginyje papildomai yra uždegimo </w:t>
      </w:r>
      <w:r w:rsidR="00842A49" w:rsidRPr="0018618D">
        <w:rPr>
          <w:rFonts w:ascii="Helvetica" w:hAnsi="Helvetica"/>
          <w:color w:val="auto"/>
          <w:sz w:val="20"/>
        </w:rPr>
        <w:t>įrodymų</w:t>
      </w:r>
      <w:r w:rsidR="00227C06" w:rsidRPr="0018618D">
        <w:rPr>
          <w:rFonts w:ascii="Helvetica" w:hAnsi="Helvetica"/>
          <w:color w:val="auto"/>
          <w:sz w:val="20"/>
        </w:rPr>
        <w:t xml:space="preserve">, </w:t>
      </w:r>
      <w:r w:rsidR="00842A49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>mėginys yra galvos ir stuburo smegenų skysčio mėginys</w:t>
      </w:r>
      <w:r w:rsidR="00842A49" w:rsidRPr="0018618D">
        <w:rPr>
          <w:rFonts w:ascii="Helvetica" w:hAnsi="Helvetica"/>
          <w:color w:val="auto"/>
          <w:sz w:val="20"/>
        </w:rPr>
        <w:t>,</w:t>
      </w:r>
      <w:r w:rsidR="00227C06" w:rsidRPr="0018618D">
        <w:rPr>
          <w:rFonts w:ascii="Helvetica" w:hAnsi="Helvetica"/>
          <w:color w:val="auto"/>
          <w:sz w:val="20"/>
        </w:rPr>
        <w:t xml:space="preserve"> ir </w:t>
      </w:r>
      <w:r w:rsidR="00842A49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uždegimą rodo padidėjęs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IgG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rodiklis arba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IgG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oligokloninės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juostos, aptiktos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izo</w:t>
      </w:r>
      <w:r w:rsidR="000C5043" w:rsidRPr="0018618D">
        <w:rPr>
          <w:rFonts w:ascii="Helvetica" w:hAnsi="Helvetica"/>
          <w:color w:val="auto"/>
          <w:sz w:val="20"/>
        </w:rPr>
        <w:t>elektro</w:t>
      </w:r>
      <w:r w:rsidR="00227C06" w:rsidRPr="0018618D">
        <w:rPr>
          <w:rFonts w:ascii="Helvetica" w:hAnsi="Helvetica"/>
          <w:color w:val="auto"/>
          <w:sz w:val="20"/>
        </w:rPr>
        <w:t>fokusavimo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metodu.</w:t>
      </w:r>
    </w:p>
    <w:p w14:paraId="30D67E71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71AA1D64" w14:textId="0718A7D2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3.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1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pacientas </w:t>
      </w:r>
      <w:r w:rsidR="000C5043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>a) yra jaunesnis nei 51 metų amži</w:t>
      </w:r>
      <w:r w:rsidR="000C5043" w:rsidRPr="0018618D">
        <w:rPr>
          <w:rFonts w:ascii="Helvetica" w:hAnsi="Helvetica"/>
          <w:color w:val="auto"/>
          <w:sz w:val="20"/>
        </w:rPr>
        <w:t>a</w:t>
      </w:r>
      <w:r w:rsidR="00227C06" w:rsidRPr="0018618D">
        <w:rPr>
          <w:rFonts w:ascii="Helvetica" w:hAnsi="Helvetica"/>
          <w:color w:val="auto"/>
          <w:sz w:val="20"/>
        </w:rPr>
        <w:t xml:space="preserve">us, </w:t>
      </w:r>
      <w:r w:rsidR="000C5043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 xml:space="preserve">b) jam nustatytas vienas ar daugiau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gadoliniu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 </w:t>
      </w:r>
      <w:r w:rsidR="000C5043" w:rsidRPr="0018618D">
        <w:rPr>
          <w:rFonts w:ascii="Helvetica" w:hAnsi="Helvetica"/>
          <w:color w:val="auto"/>
          <w:sz w:val="20"/>
        </w:rPr>
        <w:t xml:space="preserve">nudažytų </w:t>
      </w:r>
      <w:r w:rsidR="00227C06" w:rsidRPr="0018618D">
        <w:rPr>
          <w:rFonts w:ascii="Helvetica" w:hAnsi="Helvetica"/>
          <w:color w:val="auto"/>
          <w:sz w:val="20"/>
        </w:rPr>
        <w:t xml:space="preserve">pažeidimų, </w:t>
      </w:r>
      <w:r w:rsidR="000C5043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 xml:space="preserve">c) </w:t>
      </w:r>
      <w:r w:rsidR="000C5043" w:rsidRPr="0018618D">
        <w:rPr>
          <w:rFonts w:ascii="Helvetica" w:hAnsi="Helvetica"/>
          <w:color w:val="auto"/>
          <w:sz w:val="20"/>
        </w:rPr>
        <w:t xml:space="preserve">anksčiau nei prieš </w:t>
      </w:r>
      <w:r w:rsidR="00227C06" w:rsidRPr="0018618D">
        <w:rPr>
          <w:rFonts w:ascii="Helvetica" w:hAnsi="Helvetica"/>
          <w:color w:val="auto"/>
          <w:sz w:val="20"/>
        </w:rPr>
        <w:t>dvejus metus iki gydymo pradžios jo išplėstinės negalios vertinimo skalės (EDSS) įvertis padidėjo bent vienu balu</w:t>
      </w:r>
      <w:r w:rsidR="000C5043" w:rsidRPr="0018618D">
        <w:rPr>
          <w:rFonts w:ascii="Helvetica" w:hAnsi="Helvetica"/>
          <w:color w:val="auto"/>
          <w:sz w:val="20"/>
        </w:rPr>
        <w:t>,</w:t>
      </w:r>
      <w:r w:rsidR="00227C06" w:rsidRPr="0018618D">
        <w:rPr>
          <w:rFonts w:ascii="Helvetica" w:hAnsi="Helvetica"/>
          <w:color w:val="auto"/>
          <w:sz w:val="20"/>
        </w:rPr>
        <w:t xml:space="preserve"> ir </w:t>
      </w:r>
      <w:r w:rsidR="000C5043" w:rsidRPr="0018618D">
        <w:rPr>
          <w:rFonts w:ascii="Helvetica" w:hAnsi="Helvetica"/>
          <w:color w:val="auto"/>
          <w:sz w:val="20"/>
        </w:rPr>
        <w:t>(</w:t>
      </w:r>
      <w:r w:rsidR="00227C06" w:rsidRPr="0018618D">
        <w:rPr>
          <w:rFonts w:ascii="Helvetica" w:hAnsi="Helvetica"/>
          <w:color w:val="auto"/>
          <w:sz w:val="20"/>
        </w:rPr>
        <w:t>d) jo išsėtinės sklerozės sunkumo skalės (MSSS) įvertis didesnis nei 5 balai.</w:t>
      </w:r>
    </w:p>
    <w:p w14:paraId="14568711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1088D3F4" w14:textId="20132C13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4.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1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paciento EDSS įvertis </w:t>
      </w:r>
      <w:r w:rsidR="000C5043" w:rsidRPr="0018618D">
        <w:rPr>
          <w:rFonts w:ascii="Helvetica" w:hAnsi="Helvetica"/>
          <w:color w:val="auto"/>
          <w:sz w:val="20"/>
        </w:rPr>
        <w:t xml:space="preserve">trumpiau </w:t>
      </w:r>
      <w:r w:rsidR="00227C06" w:rsidRPr="0018618D">
        <w:rPr>
          <w:rFonts w:ascii="Helvetica" w:hAnsi="Helvetica"/>
          <w:color w:val="auto"/>
          <w:sz w:val="20"/>
        </w:rPr>
        <w:t>nei 15 metų buvo didesnis nei 5,0 balo.</w:t>
      </w:r>
    </w:p>
    <w:p w14:paraId="460955D0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38355038" w14:textId="51CC3C5D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5.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bet kurį iš 1–4 punktų,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paciento EDSS įvertis </w:t>
      </w:r>
      <w:r w:rsidR="000C5043" w:rsidRPr="0018618D">
        <w:rPr>
          <w:rFonts w:ascii="Helvetica" w:hAnsi="Helvetica"/>
          <w:color w:val="auto"/>
          <w:sz w:val="20"/>
        </w:rPr>
        <w:t xml:space="preserve">trumpiau </w:t>
      </w:r>
      <w:r w:rsidR="00227C06" w:rsidRPr="0018618D">
        <w:rPr>
          <w:rFonts w:ascii="Helvetica" w:hAnsi="Helvetica"/>
          <w:color w:val="auto"/>
          <w:sz w:val="20"/>
        </w:rPr>
        <w:t>nei 10 metų buvo lygus 5,0 balo arba mažesnis.</w:t>
      </w:r>
    </w:p>
    <w:p w14:paraId="503D1FF5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4433920B" w14:textId="5CADACF3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6.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1 punktą, </w:t>
      </w:r>
      <w:r w:rsidR="000C5043" w:rsidRPr="0018618D">
        <w:rPr>
          <w:rFonts w:ascii="Helvetica" w:hAnsi="Helvetica"/>
          <w:color w:val="auto"/>
          <w:sz w:val="20"/>
        </w:rPr>
        <w:t>kur anksčiau nei prieš</w:t>
      </w:r>
      <w:r w:rsidR="00227C06" w:rsidRPr="0018618D">
        <w:rPr>
          <w:rFonts w:ascii="Helvetica" w:hAnsi="Helvetica"/>
          <w:color w:val="auto"/>
          <w:sz w:val="20"/>
        </w:rPr>
        <w:t xml:space="preserve"> dvejus metus iki gydymo pradžios paciento EDSS įvertis padidėjo bent 1,5 balo.</w:t>
      </w:r>
    </w:p>
    <w:p w14:paraId="1ADBBB35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237BA973" w14:textId="6F964579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7.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3 arba 5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 xml:space="preserve">EDSS įverčio padidėjimas </w:t>
      </w:r>
      <w:r w:rsidR="000C5043" w:rsidRPr="0018618D">
        <w:rPr>
          <w:rFonts w:ascii="Helvetica" w:hAnsi="Helvetica"/>
          <w:color w:val="auto"/>
          <w:sz w:val="20"/>
        </w:rPr>
        <w:t>anksčiau nei prieš</w:t>
      </w:r>
      <w:r w:rsidR="00227C06" w:rsidRPr="0018618D">
        <w:rPr>
          <w:rFonts w:ascii="Helvetica" w:hAnsi="Helvetica"/>
          <w:color w:val="auto"/>
          <w:sz w:val="20"/>
        </w:rPr>
        <w:t xml:space="preserve"> dvejus metus iki gydymo pradžios nepriskirtinas </w:t>
      </w:r>
      <w:r w:rsidR="000C5043" w:rsidRPr="0018618D">
        <w:rPr>
          <w:rFonts w:ascii="Helvetica" w:hAnsi="Helvetica"/>
          <w:color w:val="auto"/>
          <w:sz w:val="20"/>
        </w:rPr>
        <w:t>atkryčiui.</w:t>
      </w:r>
    </w:p>
    <w:p w14:paraId="5B18CA9D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2A2C9B29" w14:textId="24ACBC16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8.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1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>gydymas sutrumpina laikotarpį iki patvirtinto ligos progresavimo.</w:t>
      </w:r>
    </w:p>
    <w:p w14:paraId="6BDE27C3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6F94A0DE" w14:textId="6ACCCA3F" w:rsidR="00B3531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9.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8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>patvirtinta</w:t>
      </w:r>
      <w:r w:rsidR="00845856" w:rsidRPr="0018618D">
        <w:rPr>
          <w:rFonts w:ascii="Helvetica" w:hAnsi="Helvetica"/>
          <w:color w:val="auto"/>
          <w:sz w:val="20"/>
        </w:rPr>
        <w:t>s</w:t>
      </w:r>
      <w:r w:rsidR="00227C06" w:rsidRPr="0018618D">
        <w:rPr>
          <w:rFonts w:ascii="Helvetica" w:hAnsi="Helvetica"/>
          <w:color w:val="auto"/>
          <w:sz w:val="20"/>
        </w:rPr>
        <w:t xml:space="preserve"> ligos progresavim</w:t>
      </w:r>
      <w:r w:rsidR="00845856" w:rsidRPr="0018618D">
        <w:rPr>
          <w:rFonts w:ascii="Helvetica" w:hAnsi="Helvetica"/>
          <w:color w:val="auto"/>
          <w:sz w:val="20"/>
        </w:rPr>
        <w:t>as</w:t>
      </w:r>
      <w:r w:rsidR="00227C06" w:rsidRPr="0018618D">
        <w:rPr>
          <w:rFonts w:ascii="Helvetica" w:hAnsi="Helvetica"/>
          <w:color w:val="auto"/>
          <w:sz w:val="20"/>
        </w:rPr>
        <w:t xml:space="preserve"> yra EDSS įverčio padidėjimas, išliekantis dvylika savaičių.</w:t>
      </w:r>
    </w:p>
    <w:p w14:paraId="09861D98" w14:textId="77777777" w:rsidR="0018618D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6B14FA41" w14:textId="461A9EA9" w:rsidR="009E1BBB" w:rsidRPr="0018618D" w:rsidRDefault="0018618D" w:rsidP="0018618D">
      <w:pPr>
        <w:pStyle w:val="Sraopastraipa"/>
        <w:widowControl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18618D">
        <w:rPr>
          <w:rFonts w:ascii="Helvetica" w:hAnsi="Helvetica"/>
          <w:color w:val="auto"/>
          <w:sz w:val="20"/>
        </w:rPr>
        <w:t xml:space="preserve">10. </w:t>
      </w:r>
      <w:proofErr w:type="spellStart"/>
      <w:r w:rsidR="00227C06" w:rsidRPr="0018618D">
        <w:rPr>
          <w:rFonts w:ascii="Helvetica" w:hAnsi="Helvetica"/>
          <w:color w:val="auto"/>
          <w:sz w:val="20"/>
        </w:rPr>
        <w:t>Okrelizumabas</w:t>
      </w:r>
      <w:proofErr w:type="spellEnd"/>
      <w:r w:rsidR="00227C06" w:rsidRPr="0018618D">
        <w:rPr>
          <w:rFonts w:ascii="Helvetica" w:hAnsi="Helvetica"/>
          <w:color w:val="auto"/>
          <w:sz w:val="20"/>
        </w:rPr>
        <w:t xml:space="preserve">, skirtas naudoti pagal 8 punktą, </w:t>
      </w:r>
      <w:r w:rsidR="000C5043" w:rsidRPr="0018618D">
        <w:rPr>
          <w:rFonts w:ascii="Helvetica" w:hAnsi="Helvetica"/>
          <w:color w:val="auto"/>
          <w:sz w:val="20"/>
        </w:rPr>
        <w:t xml:space="preserve">kur </w:t>
      </w:r>
      <w:r w:rsidR="00227C06" w:rsidRPr="0018618D">
        <w:rPr>
          <w:rFonts w:ascii="Helvetica" w:hAnsi="Helvetica"/>
          <w:color w:val="auto"/>
          <w:sz w:val="20"/>
        </w:rPr>
        <w:t>patvirtinta</w:t>
      </w:r>
      <w:r w:rsidR="00845856" w:rsidRPr="0018618D">
        <w:rPr>
          <w:rFonts w:ascii="Helvetica" w:hAnsi="Helvetica"/>
          <w:color w:val="auto"/>
          <w:sz w:val="20"/>
        </w:rPr>
        <w:t>s</w:t>
      </w:r>
      <w:r w:rsidR="00227C06" w:rsidRPr="0018618D">
        <w:rPr>
          <w:rFonts w:ascii="Helvetica" w:hAnsi="Helvetica"/>
          <w:color w:val="auto"/>
          <w:sz w:val="20"/>
        </w:rPr>
        <w:t xml:space="preserve"> ligos progresavim</w:t>
      </w:r>
      <w:r w:rsidR="00845856" w:rsidRPr="0018618D">
        <w:rPr>
          <w:rFonts w:ascii="Helvetica" w:hAnsi="Helvetica"/>
          <w:color w:val="auto"/>
          <w:sz w:val="20"/>
        </w:rPr>
        <w:t>as</w:t>
      </w:r>
      <w:r w:rsidR="00227C06" w:rsidRPr="0018618D">
        <w:rPr>
          <w:rFonts w:ascii="Helvetica" w:hAnsi="Helvetica"/>
          <w:color w:val="auto"/>
          <w:sz w:val="20"/>
        </w:rPr>
        <w:t xml:space="preserve"> yra EDSS įverčio padidėjimas, išliekantis dvidešimt keturias savaites.</w:t>
      </w:r>
    </w:p>
    <w:p w14:paraId="5961AE9A" w14:textId="77777777" w:rsidR="00F576B9" w:rsidRPr="0018618D" w:rsidRDefault="00F576B9" w:rsidP="0018618D">
      <w:pPr>
        <w:widowControl/>
        <w:rPr>
          <w:rFonts w:ascii="Helvetica" w:hAnsi="Helvetica"/>
          <w:color w:val="auto"/>
          <w:sz w:val="20"/>
        </w:rPr>
      </w:pPr>
    </w:p>
    <w:sectPr w:rsidR="00F576B9" w:rsidRPr="0018618D" w:rsidSect="0018618D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A546" w14:textId="77777777" w:rsidR="009B7035" w:rsidRDefault="009B7035" w:rsidP="00B3531D">
      <w:pPr>
        <w:spacing w:line="240" w:lineRule="auto"/>
      </w:pPr>
      <w:r>
        <w:separator/>
      </w:r>
    </w:p>
  </w:endnote>
  <w:endnote w:type="continuationSeparator" w:id="0">
    <w:p w14:paraId="1B0E68B5" w14:textId="77777777" w:rsidR="009B7035" w:rsidRDefault="009B7035" w:rsidP="00B35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C2EA" w14:textId="77777777" w:rsidR="009B7035" w:rsidRDefault="009B7035" w:rsidP="00B3531D">
      <w:pPr>
        <w:spacing w:line="240" w:lineRule="auto"/>
      </w:pPr>
      <w:r>
        <w:separator/>
      </w:r>
    </w:p>
  </w:footnote>
  <w:footnote w:type="continuationSeparator" w:id="0">
    <w:p w14:paraId="7038101E" w14:textId="77777777" w:rsidR="009B7035" w:rsidRDefault="009B7035" w:rsidP="00B35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42A8E"/>
    <w:multiLevelType w:val="hybridMultilevel"/>
    <w:tmpl w:val="DCCAB51C"/>
    <w:lvl w:ilvl="0" w:tplc="C1AC928E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24"/>
    <w:rsid w:val="0006403F"/>
    <w:rsid w:val="000766C3"/>
    <w:rsid w:val="000C5043"/>
    <w:rsid w:val="0018618D"/>
    <w:rsid w:val="00227C06"/>
    <w:rsid w:val="002455F7"/>
    <w:rsid w:val="00302825"/>
    <w:rsid w:val="003268CE"/>
    <w:rsid w:val="0037626E"/>
    <w:rsid w:val="003C0733"/>
    <w:rsid w:val="00484009"/>
    <w:rsid w:val="004A08EE"/>
    <w:rsid w:val="0057313E"/>
    <w:rsid w:val="005F1DD5"/>
    <w:rsid w:val="00602C22"/>
    <w:rsid w:val="006A1E9A"/>
    <w:rsid w:val="006E7D48"/>
    <w:rsid w:val="0077268F"/>
    <w:rsid w:val="00831299"/>
    <w:rsid w:val="00842A49"/>
    <w:rsid w:val="00845856"/>
    <w:rsid w:val="008B25F3"/>
    <w:rsid w:val="008F4E38"/>
    <w:rsid w:val="009B7035"/>
    <w:rsid w:val="009D3EEF"/>
    <w:rsid w:val="009E1BBB"/>
    <w:rsid w:val="00A55091"/>
    <w:rsid w:val="00B3531D"/>
    <w:rsid w:val="00D16824"/>
    <w:rsid w:val="00D73166"/>
    <w:rsid w:val="00D90AE7"/>
    <w:rsid w:val="00E90960"/>
    <w:rsid w:val="00F576B9"/>
    <w:rsid w:val="00FB466B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5FD42"/>
  <w15:chartTrackingRefBased/>
  <w15:docId w15:val="{F02196A8-FAFD-429E-BFF9-933EB279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227C06"/>
    <w:pPr>
      <w:widowControl w:val="0"/>
      <w:kinsoku w:val="0"/>
      <w:overflowPunct w:val="0"/>
      <w:autoSpaceDE w:val="0"/>
      <w:autoSpaceDN w:val="0"/>
      <w:spacing w:after="0" w:line="360" w:lineRule="auto"/>
      <w:jc w:val="both"/>
    </w:pPr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16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16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16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16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168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168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168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168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1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1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16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1682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1682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1682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1682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1682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1682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6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16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1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1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1682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1682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1682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1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1682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16824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3531D"/>
    <w:pPr>
      <w:tabs>
        <w:tab w:val="center" w:pos="4703"/>
        <w:tab w:val="right" w:pos="940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531D"/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B3531D"/>
    <w:pPr>
      <w:tabs>
        <w:tab w:val="center" w:pos="4703"/>
        <w:tab w:val="right" w:pos="940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531D"/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paragraph" w:styleId="Pataisymai">
    <w:name w:val="Revision"/>
    <w:hidden/>
    <w:uiPriority w:val="99"/>
    <w:semiHidden/>
    <w:rsid w:val="0077268F"/>
    <w:pPr>
      <w:spacing w:after="0" w:line="240" w:lineRule="auto"/>
    </w:pPr>
    <w:rPr>
      <w:rFonts w:ascii="Arial" w:eastAsia="Arial Unicode MS" w:hAnsi="Arial" w:cs="Arial"/>
      <w:color w:val="000000"/>
      <w:kern w:val="0"/>
      <w:sz w:val="18"/>
      <w:lang w:eastAsia="en-US" w:bidi="en-US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5EFB"/>
    <w:pPr>
      <w:spacing w:line="240" w:lineRule="auto"/>
    </w:pPr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5EFB"/>
    <w:rPr>
      <w:rFonts w:ascii="Segoe UI" w:eastAsia="Arial Unicode MS" w:hAnsi="Segoe UI" w:cs="Segoe UI"/>
      <w:color w:val="000000"/>
      <w:kern w:val="0"/>
      <w:sz w:val="18"/>
      <w:szCs w:val="18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2179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6</cp:revision>
  <dcterms:created xsi:type="dcterms:W3CDTF">2024-07-26T13:39:00Z</dcterms:created>
  <dcterms:modified xsi:type="dcterms:W3CDTF">2024-08-14T07:01:00Z</dcterms:modified>
</cp:coreProperties>
</file>