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99A" w:rsidRPr="0022399A" w:rsidRDefault="0022399A" w:rsidP="0022399A">
      <w:pPr>
        <w:spacing w:line="360" w:lineRule="auto"/>
        <w:ind w:firstLine="567"/>
        <w:jc w:val="both"/>
        <w:rPr>
          <w:rFonts w:ascii="Helvetica" w:hAnsi="Helvetica"/>
        </w:rPr>
      </w:pPr>
      <w:r w:rsidRPr="0022399A">
        <w:rPr>
          <w:rFonts w:ascii="Helvetica" w:hAnsi="Helvetica"/>
        </w:rPr>
        <w:t xml:space="preserve">1. Nešiojamas rankinis rūkymo prietaisas, sukonfigūruotas rūkomajai medžiagai išgarinti į garinimo kamerą ir leidžiantis įkvėpti išgaravusią medžiagą, prietaisas apimantis bent vieną grįžtamojo ryšio priemonę, sukonfigūruotą rodyti prietaiso būseną, pasirinktą iš grupės, susidedančios iš: </w:t>
      </w:r>
    </w:p>
    <w:p w:rsidR="0022399A" w:rsidRPr="0022399A" w:rsidRDefault="0022399A" w:rsidP="0022399A">
      <w:pPr>
        <w:spacing w:line="360" w:lineRule="auto"/>
        <w:jc w:val="both"/>
        <w:rPr>
          <w:rFonts w:ascii="Helvetica" w:hAnsi="Helvetica"/>
        </w:rPr>
      </w:pPr>
      <w:r w:rsidRPr="0022399A">
        <w:rPr>
          <w:rFonts w:ascii="Helvetica" w:hAnsi="Helvetica"/>
        </w:rPr>
        <w:t>i) garinimo kamera pasiekė nustatytą darbinę temperatūrą, ir išgaravusi medžiaga yra paruošta įkvėpti;</w:t>
      </w:r>
    </w:p>
    <w:p w:rsidR="0022399A" w:rsidRPr="0022399A" w:rsidRDefault="0022399A" w:rsidP="0022399A">
      <w:pPr>
        <w:spacing w:line="360" w:lineRule="auto"/>
        <w:jc w:val="both"/>
        <w:rPr>
          <w:rFonts w:ascii="Helvetica" w:hAnsi="Helvetica"/>
        </w:rPr>
      </w:pPr>
      <w:r w:rsidRPr="0022399A">
        <w:rPr>
          <w:rFonts w:ascii="Helvetica" w:hAnsi="Helvetica"/>
        </w:rPr>
        <w:t xml:space="preserve">ii) garinimo kamera yra žemiau už nustatytą darbinę temperatūrą; ir </w:t>
      </w:r>
    </w:p>
    <w:p w:rsidR="0022399A" w:rsidRPr="0022399A" w:rsidRDefault="0022399A" w:rsidP="0022399A">
      <w:pPr>
        <w:spacing w:line="360" w:lineRule="auto"/>
        <w:jc w:val="both"/>
        <w:rPr>
          <w:rFonts w:ascii="Helvetica" w:hAnsi="Helvetica"/>
        </w:rPr>
      </w:pPr>
      <w:r w:rsidRPr="0022399A">
        <w:rPr>
          <w:rFonts w:ascii="Helvetica" w:hAnsi="Helvetica"/>
        </w:rPr>
        <w:t>iii) garinimo kamera viršijo nustatytą darbinę temperatūrą.</w:t>
      </w:r>
    </w:p>
    <w:p w:rsidR="0022399A" w:rsidRPr="0022399A" w:rsidRDefault="0022399A" w:rsidP="0022399A">
      <w:pPr>
        <w:spacing w:line="360" w:lineRule="auto"/>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 xml:space="preserve">2. Nešiojamas rankinis rūkymo prietaisas pagal 1 punktą, kur grįžtamojo ryšio priemonės apima bent vieną iš fizinių ir elektroninių įgyvendinimų. </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 xml:space="preserve">3. Nešiojamas rankinis rūkymo prietaisas pagal 2 punktą, kur fizinis įgyvendinimas yra </w:t>
      </w:r>
      <w:proofErr w:type="spellStart"/>
      <w:r w:rsidRPr="0022399A">
        <w:rPr>
          <w:rFonts w:ascii="Helvetica" w:hAnsi="Helvetica"/>
        </w:rPr>
        <w:t>termochromatiniai</w:t>
      </w:r>
      <w:proofErr w:type="spellEnd"/>
      <w:r w:rsidRPr="0022399A">
        <w:rPr>
          <w:rFonts w:ascii="Helvetica" w:hAnsi="Helvetica"/>
        </w:rPr>
        <w:t xml:space="preserve"> dažai ir (arba) elektroninis įgyvendinimas apima bent vieną iš šviesos diodo ir skystųjų kristalų ekrano.</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4. Nešiojamas rankinis rūkymo prietaisas pagal bet kurį iš ankstesnių punktų, kur grįžtamojo ryšio priemonės apima jutimo ir valdymo priemones elektroniniam grįžtamajam ryšiui.</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5. Nešiojamas rankinis rūkymo prietaisas pagal bet kurį vieną iš ankstesnių punktų, papildomai apima garinimo kamerą, turinčią joje esančią ertmę, ir sukonfigūruotą talpinti rūkomajai medžiagai, suformuotai ir įvyniotai į įvynioklį, kur nešiojamas rankinis rūkymo prietaisas yra pageidautina, kad jis būtų sukonfigūruotas taip, kad garintų rūkomąją medžiagą garinimo kameros ertmėje taip, kad susidarytų įkvepiami garai.</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 xml:space="preserve">6. Nešiojamas rankinis rūkymo prietaisas pagal bet kurį vieną iš ankstesnių punktų, papildomai turi korpusą, korpuse esantį šildytuvą, sukonfigūruotą šildyti rūkomąją medžiagą, suformuotą ir įvyniotą į įvynioklį, kad susidarytų įkvepiami garai. </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7. Nešiojamas rankinis rūkymo prietaisas pagal bet kurį vieną iš 1 - 5 punktų, papildomai apimantis: futliarą, šildytuvą ir izoliatorių, kur šildytuvas yra įmontuotas į futliarą su izoliatoriumi, kad būtų galima termiškai izoliuoti futliarą nuo šildytuvo, geriausiai, kai izoliatorius yra iš dalies tuščiaviduris gaubtas, turintis sandarų vakuumą.</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8. Nešiojamas rankinis rūkymo prietaisas pagal bet kurį vieną iš 1 - 5 punktų, papildomai apima futliarą, ir futliaras yra termiškai izoliuotas nuo šildytuvo, kur šildytuvas yra tiesiogiai užsandarintas prie futliaro, kad būtų sukurtas vakuumas tarp šildytuvo ir futliaro.</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9. Nešiojamas rankinis rūkymo prietaisas pagal bet kurį vieną iš 1 - 6 punktų, papildomai apima: korpusą; kur korpusas yra pailgas pagrindinis korpusas su vamzdiniu gaubtu, apimančiu garinimo kamerą; ir šildytuvą, sukonfigūruotą rūkymo medžiagai šildyti, kad susidarytų įkvepiami garai.</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10. Nešiojamas rankinis rūkymo prietaisas pagal bet kurį vieną iš ankstesnių punktų, papildomai apima kandiklį, skirtą naudoti kartu su gaubtu, apimančiu oro įleidimo angą arba įleidimo angas, ir inhaliacinį kanalą, skirtą įkvepiamiems garams, susidariusiems gaubte, išleisti vartotojui.</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lastRenderedPageBreak/>
        <w:t>11. Nešiojamas rankinis rūkymo prietaisas pagal bet kurį iš ankstesnių punktų, papildomai apima kandiklį, kur kandiklis yra sukonfigūruotas išėmimui iš prietaiso.</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 xml:space="preserve">12. Įkvepiamų garų generavimo rinkinys, apimantis: nešiojamą rankinį rūkymo prietaisą pagal bet kurį vieną iš ankstesnių punktų ir rūkomąją medžiagą, suformuotą ir įvyniotą į įvynioklį, skirtą naudoti su prietaisu. </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13. Įkvepiamųjų garų generavimo rinkinys pagal 12 punktą, kur rūkomoji medžiaga apima tabaką, kur tabakas geriausiai, kai yra susmulkintas tabakas, susmulkintas į smulkius gabalėlius, kurių skersmuo mažesnis nei 3 mm.</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 xml:space="preserve">14. Įkvepiamųjų garų generavimo rinkinys pagal 12 arba 13 punktą, papildomai apimantis kandiklį, kur kandiklis yra sukonfigūruotas išėmimui iš prietaiso. </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15. Įkvepiamųjų garų generavimo rinkinys pagal bet kurį vieną iš 12</w:t>
      </w:r>
      <w:r>
        <w:rPr>
          <w:rFonts w:ascii="Helvetica" w:hAnsi="Helvetica"/>
        </w:rPr>
        <w:t>–</w:t>
      </w:r>
      <w:r w:rsidRPr="0022399A">
        <w:rPr>
          <w:rFonts w:ascii="Helvetica" w:hAnsi="Helvetica"/>
        </w:rPr>
        <w:t>14 punktų, kur rūkomoji medžiaga turi tokią formą, kad tilptų į ertmę.</w:t>
      </w:r>
    </w:p>
    <w:p w:rsidR="0022399A" w:rsidRPr="0022399A" w:rsidRDefault="0022399A" w:rsidP="0022399A">
      <w:pPr>
        <w:spacing w:line="360" w:lineRule="auto"/>
        <w:ind w:firstLine="567"/>
        <w:jc w:val="both"/>
        <w:rPr>
          <w:rFonts w:ascii="Helvetica" w:hAnsi="Helvetica"/>
        </w:rPr>
      </w:pPr>
    </w:p>
    <w:p w:rsidR="0022399A" w:rsidRPr="0022399A" w:rsidRDefault="0022399A" w:rsidP="0022399A">
      <w:pPr>
        <w:spacing w:line="360" w:lineRule="auto"/>
        <w:ind w:firstLine="567"/>
        <w:jc w:val="both"/>
        <w:rPr>
          <w:rFonts w:ascii="Helvetica" w:hAnsi="Helvetica"/>
        </w:rPr>
      </w:pPr>
      <w:r w:rsidRPr="0022399A">
        <w:rPr>
          <w:rFonts w:ascii="Helvetica" w:hAnsi="Helvetica"/>
        </w:rPr>
        <w:t>16. Rūkomosios medžiagos vartojimo būdas, naudojant nešiojamą rankinį rūkymo prietaisą, kuris turi savyje garinimo kamerą ir šilumos šaltinį, geriau naudojant nešiojamąjį rankinį rūkymo prietaisą pagal bet kurį vieną iš 1</w:t>
      </w:r>
      <w:bookmarkStart w:id="0" w:name="_GoBack"/>
      <w:bookmarkEnd w:id="0"/>
      <w:r>
        <w:rPr>
          <w:rFonts w:ascii="Helvetica" w:hAnsi="Helvetica"/>
        </w:rPr>
        <w:t>–</w:t>
      </w:r>
      <w:r w:rsidRPr="0022399A">
        <w:rPr>
          <w:rFonts w:ascii="Helvetica" w:hAnsi="Helvetica"/>
        </w:rPr>
        <w:t>11 punktų, apimantis:</w:t>
      </w:r>
    </w:p>
    <w:p w:rsidR="0022399A" w:rsidRPr="0022399A" w:rsidRDefault="0022399A" w:rsidP="0022399A">
      <w:pPr>
        <w:spacing w:line="360" w:lineRule="auto"/>
        <w:jc w:val="both"/>
        <w:rPr>
          <w:rFonts w:ascii="Helvetica" w:hAnsi="Helvetica"/>
        </w:rPr>
      </w:pPr>
      <w:r w:rsidRPr="0022399A">
        <w:rPr>
          <w:rFonts w:ascii="Helvetica" w:hAnsi="Helvetica"/>
        </w:rPr>
        <w:t xml:space="preserve">a) paruošimą dalies rūkomos medžiagos, suformuotos ir suvyniotos į įvynioklį, </w:t>
      </w:r>
    </w:p>
    <w:p w:rsidR="0022399A" w:rsidRPr="0022399A" w:rsidRDefault="0022399A" w:rsidP="0022399A">
      <w:pPr>
        <w:spacing w:line="360" w:lineRule="auto"/>
        <w:jc w:val="both"/>
        <w:rPr>
          <w:rFonts w:ascii="Helvetica" w:hAnsi="Helvetica"/>
        </w:rPr>
      </w:pPr>
      <w:r w:rsidRPr="0022399A">
        <w:rPr>
          <w:rFonts w:ascii="Helvetica" w:hAnsi="Helvetica"/>
        </w:rPr>
        <w:t>b) minėtos rūkomosios medžiagos talpinimą į minėtą garinimo kamerą,</w:t>
      </w:r>
    </w:p>
    <w:p w:rsidR="0022399A" w:rsidRPr="0022399A" w:rsidRDefault="0022399A" w:rsidP="0022399A">
      <w:pPr>
        <w:spacing w:line="360" w:lineRule="auto"/>
        <w:jc w:val="both"/>
        <w:rPr>
          <w:rFonts w:ascii="Helvetica" w:hAnsi="Helvetica"/>
        </w:rPr>
      </w:pPr>
      <w:r w:rsidRPr="0022399A">
        <w:rPr>
          <w:rFonts w:ascii="Helvetica" w:hAnsi="Helvetica"/>
        </w:rPr>
        <w:t xml:space="preserve">c) minėtos rūkomosios medžiagos šildymą iki nustatytos darbinės temperatūros; ir </w:t>
      </w:r>
    </w:p>
    <w:p w:rsidR="0022399A" w:rsidRPr="0022399A" w:rsidRDefault="0022399A" w:rsidP="0022399A">
      <w:pPr>
        <w:spacing w:line="360" w:lineRule="auto"/>
        <w:jc w:val="both"/>
        <w:rPr>
          <w:rFonts w:ascii="Helvetica" w:hAnsi="Helvetica"/>
        </w:rPr>
      </w:pPr>
      <w:r w:rsidRPr="0022399A">
        <w:rPr>
          <w:rFonts w:ascii="Helvetica" w:hAnsi="Helvetica"/>
        </w:rPr>
        <w:t>d) minėtos išgarintos medžiagos paruošimą taip, kad vartotojas galėtų vartoti įkvepiamus garus, kur būsena nurodoma grįžtamojo ryšio priemone vartotojui, būsena yra parinkta iš grupės, susidedančios iš:</w:t>
      </w:r>
    </w:p>
    <w:p w:rsidR="0022399A" w:rsidRPr="0022399A" w:rsidRDefault="0022399A" w:rsidP="0022399A">
      <w:pPr>
        <w:spacing w:line="360" w:lineRule="auto"/>
        <w:jc w:val="both"/>
        <w:rPr>
          <w:rFonts w:ascii="Helvetica" w:hAnsi="Helvetica"/>
        </w:rPr>
      </w:pPr>
      <w:r w:rsidRPr="0022399A">
        <w:rPr>
          <w:rFonts w:ascii="Helvetica" w:hAnsi="Helvetica"/>
        </w:rPr>
        <w:t xml:space="preserve">i) garinimo kamera pasiekė nustatytą darbinę temperatūrą, ir išgarinta medžiaga yra paruošta įkvėpimui; </w:t>
      </w:r>
    </w:p>
    <w:p w:rsidR="0022399A" w:rsidRPr="0022399A" w:rsidRDefault="0022399A" w:rsidP="0022399A">
      <w:pPr>
        <w:spacing w:line="360" w:lineRule="auto"/>
        <w:jc w:val="both"/>
        <w:rPr>
          <w:rFonts w:ascii="Helvetica" w:hAnsi="Helvetica"/>
        </w:rPr>
      </w:pPr>
      <w:r w:rsidRPr="0022399A">
        <w:rPr>
          <w:rFonts w:ascii="Helvetica" w:hAnsi="Helvetica"/>
        </w:rPr>
        <w:t xml:space="preserve">ii) garinimo kamera yra žemesnė už nustatytą darbinę temperatūrą; ir </w:t>
      </w:r>
    </w:p>
    <w:p w:rsidR="0018473C" w:rsidRPr="0022399A" w:rsidRDefault="0022399A" w:rsidP="0022399A">
      <w:pPr>
        <w:spacing w:line="360" w:lineRule="auto"/>
        <w:jc w:val="both"/>
        <w:rPr>
          <w:rFonts w:ascii="Helvetica" w:hAnsi="Helvetica"/>
        </w:rPr>
      </w:pPr>
      <w:r w:rsidRPr="0022399A">
        <w:rPr>
          <w:rFonts w:ascii="Helvetica" w:hAnsi="Helvetica"/>
        </w:rPr>
        <w:t>iii) garinimo kamera viršijo nustatytą darbinę temperatūrą.</w:t>
      </w:r>
    </w:p>
    <w:sectPr w:rsidR="0018473C" w:rsidRPr="0022399A" w:rsidSect="0022399A">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89E" w:rsidRDefault="0021789E" w:rsidP="0022399A">
      <w:r>
        <w:separator/>
      </w:r>
    </w:p>
  </w:endnote>
  <w:endnote w:type="continuationSeparator" w:id="0">
    <w:p w:rsidR="0021789E" w:rsidRDefault="0021789E" w:rsidP="00223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89E" w:rsidRDefault="0021789E" w:rsidP="0022399A">
      <w:r>
        <w:separator/>
      </w:r>
    </w:p>
  </w:footnote>
  <w:footnote w:type="continuationSeparator" w:id="0">
    <w:p w:rsidR="0021789E" w:rsidRDefault="0021789E" w:rsidP="00223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2399A"/>
    <w:rsid w:val="0000726D"/>
    <w:rsid w:val="000657CC"/>
    <w:rsid w:val="00091494"/>
    <w:rsid w:val="00100598"/>
    <w:rsid w:val="001340E0"/>
    <w:rsid w:val="00142022"/>
    <w:rsid w:val="0018473C"/>
    <w:rsid w:val="001A66DC"/>
    <w:rsid w:val="001D55F6"/>
    <w:rsid w:val="0021789E"/>
    <w:rsid w:val="00220F37"/>
    <w:rsid w:val="0022399A"/>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BAA52"/>
  <w15:chartTrackingRefBased/>
  <w15:docId w15:val="{F25E4008-80D9-40EE-BEAB-2105F8A0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399A"/>
    <w:pPr>
      <w:tabs>
        <w:tab w:val="center" w:pos="4819"/>
        <w:tab w:val="right" w:pos="9638"/>
      </w:tabs>
    </w:pPr>
  </w:style>
  <w:style w:type="character" w:customStyle="1" w:styleId="AntratsDiagrama">
    <w:name w:val="Antraštės Diagrama"/>
    <w:basedOn w:val="Numatytasispastraiposriftas"/>
    <w:link w:val="Antrats"/>
    <w:uiPriority w:val="99"/>
    <w:rsid w:val="0022399A"/>
    <w:rPr>
      <w:lang w:eastAsia="en-US"/>
    </w:rPr>
  </w:style>
  <w:style w:type="paragraph" w:styleId="Porat">
    <w:name w:val="footer"/>
    <w:basedOn w:val="prastasis"/>
    <w:link w:val="PoratDiagrama"/>
    <w:uiPriority w:val="99"/>
    <w:unhideWhenUsed/>
    <w:rsid w:val="0022399A"/>
    <w:pPr>
      <w:tabs>
        <w:tab w:val="center" w:pos="4819"/>
        <w:tab w:val="right" w:pos="9638"/>
      </w:tabs>
    </w:pPr>
  </w:style>
  <w:style w:type="character" w:customStyle="1" w:styleId="PoratDiagrama">
    <w:name w:val="Poraštė Diagrama"/>
    <w:basedOn w:val="Numatytasispastraiposriftas"/>
    <w:link w:val="Porat"/>
    <w:uiPriority w:val="99"/>
    <w:rsid w:val="0022399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4112</Characters>
  <Application>Microsoft Office Word</Application>
  <DocSecurity>0</DocSecurity>
  <Lines>72</Lines>
  <Paragraphs>30</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2022-02-03T14:44:00Z</dcterms:created>
  <dcterms:modified xsi:type="dcterms:W3CDTF">2022-02-03T14:45:00Z</dcterms:modified>
</cp:coreProperties>
</file>