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9C68" w14:textId="6C89753A" w:rsidR="00DE7F70" w:rsidRPr="00285736" w:rsidRDefault="00BA2E9F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>Minkšt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>os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 želatinos kapsulė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>s vaisto forma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E7F70" w:rsidRPr="00285736">
        <w:rPr>
          <w:rFonts w:ascii="Helvetica" w:hAnsi="Helvetica" w:cs="Arial"/>
          <w:sz w:val="20"/>
          <w:szCs w:val="24"/>
          <w:lang w:val="lt-LT"/>
        </w:rPr>
        <w:t>apimanti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>:</w:t>
      </w:r>
    </w:p>
    <w:p w14:paraId="311D7D74" w14:textId="40961985" w:rsidR="00DE7F70" w:rsidRPr="00285736" w:rsidRDefault="00DE7F70" w:rsidP="007856A5">
      <w:pPr>
        <w:spacing w:after="0" w:line="360" w:lineRule="auto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(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>a) 2-[3,5-bis(trifluormetil)fenil]-N-{4-(4-fluor-2-metilfenil)-6-[(7S,9aS)-7-(hidroksimetil)heksahidropirazino</w:t>
      </w:r>
      <w:r w:rsidR="007856A5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>[2,1-c] [1,4]oksazin-8(1H)-</w:t>
      </w:r>
      <w:proofErr w:type="spellStart"/>
      <w:r w:rsidR="008F2CCA" w:rsidRPr="00285736">
        <w:rPr>
          <w:rFonts w:ascii="Helvetica" w:hAnsi="Helvetica" w:cs="Arial"/>
          <w:sz w:val="20"/>
          <w:szCs w:val="24"/>
          <w:lang w:val="lt-LT"/>
        </w:rPr>
        <w:t>il</w:t>
      </w:r>
      <w:proofErr w:type="spellEnd"/>
      <w:r w:rsidR="008F2CCA" w:rsidRPr="00285736">
        <w:rPr>
          <w:rFonts w:ascii="Helvetica" w:hAnsi="Helvetica" w:cs="Arial"/>
          <w:sz w:val="20"/>
          <w:szCs w:val="24"/>
          <w:lang w:val="lt-LT"/>
        </w:rPr>
        <w:t>]-3-piridinil}-N,2-dimetilpropanamid</w:t>
      </w:r>
      <w:r w:rsidRPr="00285736">
        <w:rPr>
          <w:rFonts w:ascii="Helvetica" w:hAnsi="Helvetica" w:cs="Arial"/>
          <w:sz w:val="20"/>
          <w:szCs w:val="24"/>
          <w:lang w:val="lt-LT"/>
        </w:rPr>
        <w:t>ą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 (junginys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A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): </w:t>
      </w:r>
    </w:p>
    <w:p w14:paraId="7E7BE0B4" w14:textId="449EC4E7" w:rsidR="00DE7F70" w:rsidRPr="00285736" w:rsidRDefault="007856A5" w:rsidP="00285736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pict w14:anchorId="038F1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49.5pt">
            <v:imagedata r:id="rId6" o:title=""/>
          </v:shape>
        </w:pict>
      </w:r>
    </w:p>
    <w:p w14:paraId="397ECB88" w14:textId="39D367F0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arba farmaciniu požiūriu priimtin</w:t>
      </w:r>
      <w:r w:rsidR="00DE7F70" w:rsidRPr="00285736">
        <w:rPr>
          <w:rFonts w:ascii="Helvetica" w:hAnsi="Helvetica" w:cs="Arial"/>
          <w:sz w:val="20"/>
          <w:szCs w:val="24"/>
          <w:lang w:val="lt-LT"/>
        </w:rPr>
        <w:t>ą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E7F70" w:rsidRPr="00285736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285736">
        <w:rPr>
          <w:rFonts w:ascii="Helvetica" w:hAnsi="Helvetica" w:cs="Arial"/>
          <w:sz w:val="20"/>
          <w:szCs w:val="24"/>
          <w:lang w:val="lt-LT"/>
        </w:rPr>
        <w:t>drusk</w:t>
      </w:r>
      <w:r w:rsidR="00DE7F70" w:rsidRPr="00285736">
        <w:rPr>
          <w:rFonts w:ascii="Helvetica" w:hAnsi="Helvetica" w:cs="Arial"/>
          <w:sz w:val="20"/>
          <w:szCs w:val="24"/>
          <w:lang w:val="lt-LT"/>
        </w:rPr>
        <w:t>ą</w:t>
      </w:r>
      <w:r w:rsidRPr="00285736">
        <w:rPr>
          <w:rFonts w:ascii="Helvetica" w:hAnsi="Helvetica" w:cs="Arial"/>
          <w:sz w:val="20"/>
          <w:szCs w:val="24"/>
          <w:lang w:val="lt-LT"/>
        </w:rPr>
        <w:t>; ir</w:t>
      </w:r>
    </w:p>
    <w:p w14:paraId="50530183" w14:textId="1CE44B61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 xml:space="preserve">(b) </w:t>
      </w:r>
      <w:r w:rsidR="00DE7F70" w:rsidRPr="00285736">
        <w:rPr>
          <w:rFonts w:ascii="Helvetica" w:hAnsi="Helvetica" w:cs="Arial"/>
          <w:sz w:val="20"/>
          <w:szCs w:val="24"/>
          <w:lang w:val="lt-LT"/>
        </w:rPr>
        <w:t>bent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vieną tirpiklį, parinktą iš kaprilokaproilpolioksil-8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gliceridų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glicerolio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monokaprilokaprato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polioksil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DE7F70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35 ricinos aliejaus,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polisorbato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80 arba jų mišinių.</w:t>
      </w:r>
    </w:p>
    <w:p w14:paraId="13C04B38" w14:textId="77777777" w:rsidR="00DE7F70" w:rsidRPr="00285736" w:rsidRDefault="00DE7F70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124BA80" w14:textId="09E32F13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2.</w:t>
      </w:r>
      <w:r w:rsidR="00DE7F70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>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1 punktą, papildomai apimanti antioksidantą.</w:t>
      </w:r>
    </w:p>
    <w:p w14:paraId="2B3AAEE3" w14:textId="77777777" w:rsidR="00DE7F70" w:rsidRPr="00285736" w:rsidRDefault="00DE7F70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8D87761" w14:textId="4B4EACE9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3.</w:t>
      </w:r>
      <w:r w:rsidR="00DE7F70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>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1 arba 2 punktą, papildomai apimanti emulsiklį.</w:t>
      </w:r>
    </w:p>
    <w:p w14:paraId="1EED88B8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75678E" w14:textId="19C425E7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4.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3 punktų,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dar </w:t>
      </w:r>
      <w:r w:rsidRPr="00285736">
        <w:rPr>
          <w:rFonts w:ascii="Helvetica" w:hAnsi="Helvetica" w:cs="Arial"/>
          <w:sz w:val="20"/>
          <w:szCs w:val="24"/>
          <w:lang w:val="lt-LT"/>
        </w:rPr>
        <w:t>apimanti vieną arba daugiau papildomų terapinių agentų.</w:t>
      </w:r>
    </w:p>
    <w:p w14:paraId="06E43831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466773F" w14:textId="4BA1E85A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5.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4 punktų, kur junginio A kiekis farmacin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>iame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>produkte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svyruoja nuo 10 mg iki 80 mg.</w:t>
      </w:r>
    </w:p>
    <w:p w14:paraId="788BB4EB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84F3FD2" w14:textId="60C2B4A8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6.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5 punktų, kur tirpiklis yra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glicerolio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monokaprilokaprato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kaprilokaproilpolioksil-8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gliceridų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polisorbato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80 mišinys, kur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glicerolio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monokaprilokaprato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koncentracija svyruoja nuo 30 % m/m iki 40 % m/m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>,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kaprilokaproilpolioksil-8 </w:t>
      </w:r>
      <w:proofErr w:type="spellStart"/>
      <w:r w:rsidR="003E252F" w:rsidRPr="00285736">
        <w:rPr>
          <w:rFonts w:ascii="Helvetica" w:hAnsi="Helvetica" w:cs="Arial"/>
          <w:sz w:val="20"/>
          <w:szCs w:val="24"/>
          <w:lang w:val="lt-LT"/>
        </w:rPr>
        <w:t>gliceridų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koncentracija svyruoja nuo 9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% m/m iki 10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%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>m/m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3E252F" w:rsidRPr="00285736">
        <w:rPr>
          <w:rFonts w:ascii="Helvetica" w:hAnsi="Helvetica" w:cs="Arial"/>
          <w:sz w:val="20"/>
          <w:szCs w:val="24"/>
          <w:lang w:val="lt-LT"/>
        </w:rPr>
        <w:t>polisorbato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80 koncentracija svyruoja nuo 9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%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>m/m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iki 10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%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>m/m</w:t>
      </w:r>
      <w:r w:rsidRPr="00285736">
        <w:rPr>
          <w:rFonts w:ascii="Helvetica" w:hAnsi="Helvetica" w:cs="Arial"/>
          <w:sz w:val="20"/>
          <w:szCs w:val="24"/>
          <w:lang w:val="lt-LT"/>
        </w:rPr>
        <w:t>.</w:t>
      </w:r>
    </w:p>
    <w:p w14:paraId="4589A2E9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F4AD73" w14:textId="1AB635F7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7.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3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6 punktų, kur emulsiklis yra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gliceril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monooleatas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>.</w:t>
      </w:r>
    </w:p>
    <w:p w14:paraId="75891C75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27FF11" w14:textId="5B4105FE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8.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2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7 punktų, kur antioksidantas yra parinktas iš DL-alfa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tokoferolio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(vitamino E),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butilinto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hidroksitolueno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(BHT) ir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butilinto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hidroksianizolio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(BHA) arba jų mišinių.</w:t>
      </w:r>
    </w:p>
    <w:p w14:paraId="13DC48EB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9A304A8" w14:textId="6DA12E9A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9.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2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8 punktų, kur antioksidantas yra DL-alfa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tokoferolis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(vitaminas E), kurio koncentracija svyruoja nuo 0,05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%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m/m iki 1,5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% </w:t>
      </w:r>
      <w:r w:rsidRPr="00285736">
        <w:rPr>
          <w:rFonts w:ascii="Helvetica" w:hAnsi="Helvetica" w:cs="Arial"/>
          <w:sz w:val="20"/>
          <w:szCs w:val="24"/>
          <w:lang w:val="lt-LT"/>
        </w:rPr>
        <w:t>m/m.</w:t>
      </w:r>
    </w:p>
    <w:p w14:paraId="2EF03462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959A04" w14:textId="6D462071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10.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9 punktų, apimanti junginį A,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glicerolio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monokaprilokapratą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polisorbatą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80,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glicerilo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monooleatą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ir DL-alfa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tokoferolį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(vitaminą E).</w:t>
      </w:r>
    </w:p>
    <w:p w14:paraId="7DCEE33F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31757E2" w14:textId="374C594E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11.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10 punktų, apimanti junginį A, </w:t>
      </w:r>
      <w:proofErr w:type="spellStart"/>
      <w:r w:rsidR="000742FF" w:rsidRPr="00285736">
        <w:rPr>
          <w:rFonts w:ascii="Helvetica" w:hAnsi="Helvetica" w:cs="Arial"/>
          <w:sz w:val="20"/>
          <w:szCs w:val="24"/>
          <w:lang w:val="lt-LT"/>
        </w:rPr>
        <w:t>glicerolio</w:t>
      </w:r>
      <w:proofErr w:type="spellEnd"/>
      <w:r w:rsidR="000742F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742FF" w:rsidRPr="00285736">
        <w:rPr>
          <w:rFonts w:ascii="Helvetica" w:hAnsi="Helvetica" w:cs="Arial"/>
          <w:sz w:val="20"/>
          <w:szCs w:val="24"/>
          <w:lang w:val="lt-LT"/>
        </w:rPr>
        <w:t>monokaprilokapratą</w:t>
      </w:r>
      <w:proofErr w:type="spellEnd"/>
      <w:r w:rsidR="000742FF" w:rsidRPr="00285736">
        <w:rPr>
          <w:rFonts w:ascii="Helvetica" w:hAnsi="Helvetica" w:cs="Arial"/>
          <w:sz w:val="20"/>
          <w:szCs w:val="24"/>
          <w:lang w:val="lt-LT"/>
        </w:rPr>
        <w:t>,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kaprilokaproilpolioksil-8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gliceridus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polisorbatą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80,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glicerilo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monooleatą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ir DL-alfa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tokoferolį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(vitaminą E).</w:t>
      </w:r>
    </w:p>
    <w:p w14:paraId="11E6F8F8" w14:textId="77777777" w:rsidR="00D423F8" w:rsidRPr="00285736" w:rsidRDefault="00D423F8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F7228B" w14:textId="02273476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12.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>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D423F8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11 punktų, apimanti:</w:t>
      </w:r>
    </w:p>
    <w:p w14:paraId="61F51BD9" w14:textId="2CA39713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(a) jungin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į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A nuo maždaug 1 % m/m iki maždaug 10 % m/m;</w:t>
      </w:r>
    </w:p>
    <w:p w14:paraId="133A3D42" w14:textId="5C2DA68F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 xml:space="preserve">(b1)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glicerolio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monokaprilokaprat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>, kurio koncentracija svyruoja nuo 30 % m/m iki 40 % m/m;</w:t>
      </w:r>
    </w:p>
    <w:p w14:paraId="3C4CD642" w14:textId="44AB0F58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 xml:space="preserve">(b2) kaprilokaproilpolioksil-8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glicerid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us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>, kurių koncentracija svyruoja nuo 7 % m/m iki 13 % m/m;</w:t>
      </w:r>
    </w:p>
    <w:p w14:paraId="6AC46E2D" w14:textId="338D2313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 xml:space="preserve">(b3)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polisorbat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80, kurio koncentracija yra nuo 7 % m/m iki 13 % m/m;</w:t>
      </w:r>
    </w:p>
    <w:p w14:paraId="0CC3AA23" w14:textId="0C6F4107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 xml:space="preserve">(c)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glicerilo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monooleat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>, kurio koncentracija svyruoja nuo maždaug 33 % m/m iki 43 % m/m; ir</w:t>
      </w:r>
    </w:p>
    <w:p w14:paraId="4962C8DF" w14:textId="2BFD5C71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 xml:space="preserve">(d) DL-alfa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tokoferol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(vitamin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ą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E), kurio koncentracija svyruoja nuo 0,05 % m/m iki 1,5 % m/m.</w:t>
      </w:r>
    </w:p>
    <w:p w14:paraId="684293F7" w14:textId="77777777" w:rsidR="003E252F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08A8099" w14:textId="7F47C9EB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13.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12 punktų, apimanti:</w:t>
      </w:r>
    </w:p>
    <w:p w14:paraId="1C74336B" w14:textId="1978F84C" w:rsidR="008F2CCA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(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>a) jungin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į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 A, kurio koncentracija yra 5 % m/m;</w:t>
      </w:r>
    </w:p>
    <w:p w14:paraId="30E54E70" w14:textId="61A2BEBE" w:rsidR="008F2CCA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(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b1) </w:t>
      </w:r>
      <w:proofErr w:type="spellStart"/>
      <w:r w:rsidR="008F2CCA" w:rsidRPr="00285736">
        <w:rPr>
          <w:rFonts w:ascii="Helvetica" w:hAnsi="Helvetica" w:cs="Arial"/>
          <w:sz w:val="20"/>
          <w:szCs w:val="24"/>
          <w:lang w:val="lt-LT"/>
        </w:rPr>
        <w:t>glicerolio</w:t>
      </w:r>
      <w:proofErr w:type="spellEnd"/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F2CCA" w:rsidRPr="00285736">
        <w:rPr>
          <w:rFonts w:ascii="Helvetica" w:hAnsi="Helvetica" w:cs="Arial"/>
          <w:sz w:val="20"/>
          <w:szCs w:val="24"/>
          <w:lang w:val="lt-LT"/>
        </w:rPr>
        <w:t>monokaprilokaprat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="008F2CCA" w:rsidRPr="00285736">
        <w:rPr>
          <w:rFonts w:ascii="Helvetica" w:hAnsi="Helvetica" w:cs="Arial"/>
          <w:sz w:val="20"/>
          <w:szCs w:val="24"/>
          <w:lang w:val="lt-LT"/>
        </w:rPr>
        <w:t>, kurio koncentracija yra 37,05 % m/m;</w:t>
      </w:r>
    </w:p>
    <w:p w14:paraId="67FEEBDD" w14:textId="67AB5617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 xml:space="preserve">(b2) kaprilokaproilpolioksil-8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glicerid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us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>, kurių koncentracija yra 9,5 % m/m;</w:t>
      </w:r>
    </w:p>
    <w:p w14:paraId="39AB5A92" w14:textId="6B1B3D03" w:rsidR="008F2CCA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(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b3) </w:t>
      </w:r>
      <w:proofErr w:type="spellStart"/>
      <w:r w:rsidR="008F2CCA" w:rsidRPr="00285736">
        <w:rPr>
          <w:rFonts w:ascii="Helvetica" w:hAnsi="Helvetica" w:cs="Arial"/>
          <w:sz w:val="20"/>
          <w:szCs w:val="24"/>
          <w:lang w:val="lt-LT"/>
        </w:rPr>
        <w:t>polisorbat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 80, kurio koncentracija yra 9,5 % m/m;</w:t>
      </w:r>
    </w:p>
    <w:p w14:paraId="7DBE7258" w14:textId="23B56F60" w:rsidR="008F2CCA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(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c) </w:t>
      </w:r>
      <w:proofErr w:type="spellStart"/>
      <w:r w:rsidR="008F2CCA" w:rsidRPr="00285736">
        <w:rPr>
          <w:rFonts w:ascii="Helvetica" w:hAnsi="Helvetica" w:cs="Arial"/>
          <w:sz w:val="20"/>
          <w:szCs w:val="24"/>
          <w:lang w:val="lt-LT"/>
        </w:rPr>
        <w:t>glicerilo</w:t>
      </w:r>
      <w:proofErr w:type="spellEnd"/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F2CCA" w:rsidRPr="00285736">
        <w:rPr>
          <w:rFonts w:ascii="Helvetica" w:hAnsi="Helvetica" w:cs="Arial"/>
          <w:sz w:val="20"/>
          <w:szCs w:val="24"/>
          <w:lang w:val="lt-LT"/>
        </w:rPr>
        <w:t>monooleat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="008F2CCA" w:rsidRPr="00285736">
        <w:rPr>
          <w:rFonts w:ascii="Helvetica" w:hAnsi="Helvetica" w:cs="Arial"/>
          <w:sz w:val="20"/>
          <w:szCs w:val="24"/>
          <w:lang w:val="lt-LT"/>
        </w:rPr>
        <w:t>, kurio koncentracija yra 38 % m/m; ir</w:t>
      </w:r>
    </w:p>
    <w:p w14:paraId="0E359BF9" w14:textId="4E5E923E" w:rsidR="008F2CCA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(</w:t>
      </w:r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d) DL-alfa </w:t>
      </w:r>
      <w:proofErr w:type="spellStart"/>
      <w:r w:rsidR="008F2CCA" w:rsidRPr="00285736">
        <w:rPr>
          <w:rFonts w:ascii="Helvetica" w:hAnsi="Helvetica" w:cs="Arial"/>
          <w:sz w:val="20"/>
          <w:szCs w:val="24"/>
          <w:lang w:val="lt-LT"/>
        </w:rPr>
        <w:t>tokoferolis</w:t>
      </w:r>
      <w:proofErr w:type="spellEnd"/>
      <w:r w:rsidR="008F2CCA" w:rsidRPr="00285736">
        <w:rPr>
          <w:rFonts w:ascii="Helvetica" w:hAnsi="Helvetica" w:cs="Arial"/>
          <w:sz w:val="20"/>
          <w:szCs w:val="24"/>
          <w:lang w:val="lt-LT"/>
        </w:rPr>
        <w:t xml:space="preserve"> (vitaminas E), kurio koncentracija yra 0,95 % m/m.</w:t>
      </w:r>
    </w:p>
    <w:p w14:paraId="06B312FE" w14:textId="77777777" w:rsidR="003E252F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5D8D37" w14:textId="5B016C9E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14.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pagal 1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-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13 punktus, skirta naudoti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 xml:space="preserve"> taikant gydymą arba profilaktiką ligos,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 xml:space="preserve">priklausomos nuo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lytinių hormonų, arba būklės, kur būklė yra su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perimenopauze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, menopauze arba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postmenopauz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e</w:t>
      </w:r>
      <w:proofErr w:type="spellEnd"/>
      <w:r w:rsidR="000742FF" w:rsidRPr="00285736">
        <w:rPr>
          <w:rFonts w:ascii="Helvetica" w:hAnsi="Helvetica" w:cs="Arial"/>
          <w:sz w:val="20"/>
          <w:szCs w:val="24"/>
          <w:lang w:val="lt-LT"/>
        </w:rPr>
        <w:t xml:space="preserve"> susijęs simptomas</w:t>
      </w:r>
      <w:r w:rsidRPr="00285736">
        <w:rPr>
          <w:rFonts w:ascii="Helvetica" w:hAnsi="Helvetica" w:cs="Arial"/>
          <w:sz w:val="20"/>
          <w:szCs w:val="24"/>
          <w:lang w:val="lt-LT"/>
        </w:rPr>
        <w:t>, parinkta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s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iš patologinio kūno riebalų pertekliaus ir (arba) perteklinio kūno svorio padidėjimo, nemigos, miego sutrikimų ir naktini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ų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pabudim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ų</w:t>
      </w:r>
      <w:r w:rsidRPr="00285736">
        <w:rPr>
          <w:rFonts w:ascii="Helvetica" w:hAnsi="Helvetica" w:cs="Arial"/>
          <w:sz w:val="20"/>
          <w:szCs w:val="24"/>
          <w:lang w:val="lt-LT"/>
        </w:rPr>
        <w:t>, nerimo ir depresijos, skub</w:t>
      </w:r>
      <w:r w:rsidR="000742FF" w:rsidRPr="00285736">
        <w:rPr>
          <w:rFonts w:ascii="Helvetica" w:hAnsi="Helvetica" w:cs="Arial"/>
          <w:sz w:val="20"/>
          <w:szCs w:val="24"/>
          <w:lang w:val="lt-LT"/>
        </w:rPr>
        <w:t>aus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šlapinimosi ir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dizurijos</w:t>
      </w:r>
      <w:proofErr w:type="spellEnd"/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 simptomų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; arba kur būklė yra simptomas, susijęs su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andropaze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, parinkta iš patologinio kūno riebalų pertekliaus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ir (arba) perteklinio kūno svorio padidėjimo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, nemigos, miego sutrikimų ir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naktinių pabudimų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, nerimo ir depresijos,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skubaus šlapinimosi ir </w:t>
      </w:r>
      <w:proofErr w:type="spellStart"/>
      <w:r w:rsidR="00C16EA1" w:rsidRPr="00285736">
        <w:rPr>
          <w:rFonts w:ascii="Helvetica" w:hAnsi="Helvetica" w:cs="Arial"/>
          <w:sz w:val="20"/>
          <w:szCs w:val="24"/>
          <w:lang w:val="lt-LT"/>
        </w:rPr>
        <w:t>dizurijos</w:t>
      </w:r>
      <w:proofErr w:type="spellEnd"/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 simptomų</w:t>
      </w:r>
      <w:r w:rsidRPr="00285736">
        <w:rPr>
          <w:rFonts w:ascii="Helvetica" w:hAnsi="Helvetica" w:cs="Arial"/>
          <w:sz w:val="20"/>
          <w:szCs w:val="24"/>
          <w:lang w:val="lt-LT"/>
        </w:rPr>
        <w:t>.</w:t>
      </w:r>
    </w:p>
    <w:p w14:paraId="331EC6DC" w14:textId="77777777" w:rsidR="003E252F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7871D29" w14:textId="74D3C933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15.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, skirta naudoti pagal 14 punktą, kur nuo lytinių hormonų priklausoma liga yra parinkta iš endometriozės, gimdos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fibroidinio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naviko, gausaus menstruacinio kraujavimo,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policistinių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kiaušidžių sindromo (PCOS) ir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vazomotorinių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simptomų.</w:t>
      </w:r>
    </w:p>
    <w:p w14:paraId="0C91D4FF" w14:textId="77777777" w:rsidR="003E252F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3B0CD5D" w14:textId="1EFD9E87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16.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forma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, skirta naudoti pagal 14 punktą, kur nuo lytinio hormono priklausoma liga yra </w:t>
      </w:r>
      <w:proofErr w:type="spellStart"/>
      <w:r w:rsidRPr="00285736">
        <w:rPr>
          <w:rFonts w:ascii="Helvetica" w:hAnsi="Helvetica" w:cs="Arial"/>
          <w:sz w:val="20"/>
          <w:szCs w:val="24"/>
          <w:lang w:val="lt-LT"/>
        </w:rPr>
        <w:t>vazomotoriniai</w:t>
      </w:r>
      <w:proofErr w:type="spellEnd"/>
      <w:r w:rsidRPr="00285736">
        <w:rPr>
          <w:rFonts w:ascii="Helvetica" w:hAnsi="Helvetica" w:cs="Arial"/>
          <w:sz w:val="20"/>
          <w:szCs w:val="24"/>
          <w:lang w:val="lt-LT"/>
        </w:rPr>
        <w:t xml:space="preserve"> simptomai.</w:t>
      </w:r>
    </w:p>
    <w:p w14:paraId="50882916" w14:textId="77777777" w:rsidR="003E252F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7B80BF" w14:textId="3388F0D2" w:rsidR="008F2CCA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17.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Minkštos želatinos kapsulės vaisto formos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gamybos būdas, apimantis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 šiuos etapus: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minkštos želatino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s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kapsulės apvalkalo sudarym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ą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, minkštos želatinos kapsulės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vaisto formos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, apimančios junginį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A </w:t>
      </w:r>
      <w:r w:rsidRPr="00285736">
        <w:rPr>
          <w:rFonts w:ascii="Helvetica" w:hAnsi="Helvetica" w:cs="Arial"/>
          <w:sz w:val="20"/>
          <w:szCs w:val="24"/>
          <w:lang w:val="lt-LT"/>
        </w:rPr>
        <w:t>arba farmaci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niu požiūriu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priimtinas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285736">
        <w:rPr>
          <w:rFonts w:ascii="Helvetica" w:hAnsi="Helvetica" w:cs="Arial"/>
          <w:sz w:val="20"/>
          <w:szCs w:val="24"/>
          <w:lang w:val="lt-LT"/>
        </w:rPr>
        <w:t>druskas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 bei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bent vieną pagalbinę medžiagą,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sumaišymas 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ir minkštos želatinos kapsulės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vaisto formos patalpinimas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į želatinos kapsulės apvalkalą</w:t>
      </w:r>
      <w:r w:rsidRPr="00285736">
        <w:rPr>
          <w:rFonts w:ascii="Helvetica" w:hAnsi="Helvetica" w:cs="Arial"/>
          <w:sz w:val="20"/>
          <w:szCs w:val="24"/>
          <w:lang w:val="lt-LT"/>
        </w:rPr>
        <w:t>.</w:t>
      </w:r>
    </w:p>
    <w:p w14:paraId="7E481915" w14:textId="77777777" w:rsidR="003E252F" w:rsidRPr="00285736" w:rsidRDefault="003E252F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AE488BE" w14:textId="4B523E05" w:rsidR="003D0FEF" w:rsidRPr="00285736" w:rsidRDefault="008F2CCA" w:rsidP="0028573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85736">
        <w:rPr>
          <w:rFonts w:ascii="Helvetica" w:hAnsi="Helvetica" w:cs="Arial"/>
          <w:sz w:val="20"/>
          <w:szCs w:val="24"/>
          <w:lang w:val="lt-LT"/>
        </w:rPr>
        <w:t>18.</w:t>
      </w:r>
      <w:r w:rsidR="003E252F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Būdas pagal 17 punktą, ku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>r</w:t>
      </w:r>
      <w:r w:rsidRPr="00285736">
        <w:rPr>
          <w:rFonts w:ascii="Helvetica" w:hAnsi="Helvetica" w:cs="Arial"/>
          <w:sz w:val="20"/>
          <w:szCs w:val="24"/>
          <w:lang w:val="lt-LT"/>
        </w:rPr>
        <w:t xml:space="preserve"> junginys A yra bevandenės kristalinės</w:t>
      </w:r>
      <w:r w:rsidR="00285736" w:rsidRPr="0028573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85736">
        <w:rPr>
          <w:rFonts w:ascii="Helvetica" w:hAnsi="Helvetica" w:cs="Arial"/>
          <w:sz w:val="20"/>
          <w:szCs w:val="24"/>
          <w:lang w:val="lt-LT"/>
        </w:rPr>
        <w:t>formos</w:t>
      </w:r>
      <w:r w:rsidR="00C16EA1" w:rsidRPr="00285736">
        <w:rPr>
          <w:rFonts w:ascii="Helvetica" w:hAnsi="Helvetica" w:cs="Arial"/>
          <w:sz w:val="20"/>
          <w:szCs w:val="24"/>
          <w:lang w:val="lt-LT"/>
        </w:rPr>
        <w:t xml:space="preserve"> 1</w:t>
      </w:r>
      <w:r w:rsidRPr="00285736">
        <w:rPr>
          <w:rFonts w:ascii="Helvetica" w:hAnsi="Helvetica" w:cs="Arial"/>
          <w:sz w:val="20"/>
          <w:szCs w:val="24"/>
          <w:lang w:val="lt-LT"/>
        </w:rPr>
        <w:t>.</w:t>
      </w:r>
    </w:p>
    <w:p w14:paraId="316658B8" w14:textId="77777777" w:rsidR="008F2CCA" w:rsidRPr="00285736" w:rsidRDefault="008F2CCA" w:rsidP="0028573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8F2CCA" w:rsidRPr="00285736" w:rsidSect="0028573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20EA" w14:textId="77777777" w:rsidR="000504E2" w:rsidRDefault="000504E2" w:rsidP="007B0A41">
      <w:pPr>
        <w:spacing w:after="0" w:line="240" w:lineRule="auto"/>
      </w:pPr>
      <w:r>
        <w:separator/>
      </w:r>
    </w:p>
  </w:endnote>
  <w:endnote w:type="continuationSeparator" w:id="0">
    <w:p w14:paraId="256C0DD4" w14:textId="77777777" w:rsidR="000504E2" w:rsidRDefault="000504E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EC3B" w14:textId="77777777" w:rsidR="000504E2" w:rsidRDefault="000504E2" w:rsidP="007B0A41">
      <w:pPr>
        <w:spacing w:after="0" w:line="240" w:lineRule="auto"/>
      </w:pPr>
      <w:r>
        <w:separator/>
      </w:r>
    </w:p>
  </w:footnote>
  <w:footnote w:type="continuationSeparator" w:id="0">
    <w:p w14:paraId="3DCE31BB" w14:textId="77777777" w:rsidR="000504E2" w:rsidRDefault="000504E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4E2"/>
    <w:rsid w:val="00050629"/>
    <w:rsid w:val="00052CC3"/>
    <w:rsid w:val="00065F0D"/>
    <w:rsid w:val="0006654C"/>
    <w:rsid w:val="00070D8A"/>
    <w:rsid w:val="000742FF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85736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252F"/>
    <w:rsid w:val="003E5E6D"/>
    <w:rsid w:val="00412B35"/>
    <w:rsid w:val="004138E9"/>
    <w:rsid w:val="00416928"/>
    <w:rsid w:val="00431822"/>
    <w:rsid w:val="004361EB"/>
    <w:rsid w:val="00437D3F"/>
    <w:rsid w:val="00442300"/>
    <w:rsid w:val="00473D42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07AB6"/>
    <w:rsid w:val="0072141D"/>
    <w:rsid w:val="007265BB"/>
    <w:rsid w:val="007752B9"/>
    <w:rsid w:val="007760A8"/>
    <w:rsid w:val="00780575"/>
    <w:rsid w:val="007856A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8F2CCA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08A6"/>
    <w:rsid w:val="00BE60D0"/>
    <w:rsid w:val="00BF0501"/>
    <w:rsid w:val="00C1001A"/>
    <w:rsid w:val="00C156FA"/>
    <w:rsid w:val="00C16EA1"/>
    <w:rsid w:val="00C26B30"/>
    <w:rsid w:val="00C26C67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6549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423F8"/>
    <w:rsid w:val="00D54A23"/>
    <w:rsid w:val="00D54DBC"/>
    <w:rsid w:val="00D55A30"/>
    <w:rsid w:val="00D56D60"/>
    <w:rsid w:val="00DB2CA9"/>
    <w:rsid w:val="00DB375D"/>
    <w:rsid w:val="00DD27CC"/>
    <w:rsid w:val="00DD49B4"/>
    <w:rsid w:val="00DE7F70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EE1B37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89703F1"/>
  <w15:chartTrackingRefBased/>
  <w15:docId w15:val="{F9F91267-F66D-43A0-83CE-A128E446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3214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5</cp:revision>
  <dcterms:created xsi:type="dcterms:W3CDTF">2024-01-20T12:12:00Z</dcterms:created>
  <dcterms:modified xsi:type="dcterms:W3CDTF">2024-02-01T12:02:00Z</dcterms:modified>
</cp:coreProperties>
</file>