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Benzoilguanidinai, kurių formulė I, kurioje R1 arba R2 yra R6-SOn- arba R7R8N-O2S-, o antrasis iš šių dviejų pakaitalų yra H, F, Cl, J, alkilas, alkoksigrupė arba fenoksi grupė, R6-SOn- arba R7R8N-grupės, kur R6 yra alkilas, cikloalkilas, ciklopentilmetilas, cikloheksilmetilas arba fenilas; R7 ir R8 yra alkilas, fenilalkilas arba fenilas, arba R7 ir R8 kartu gali būti C4-C7 grandinėlė, arba R7 irR8 kartu su azoto atomu, prie kurio jie yra prijungti, gali reikšti dihidroindolo, tetrahidrochinolino arba tetrahidroizochinolino sistemą;@R3, R4 ir R5 yra vandenilis, alkilas, arba R3 ir R4 kartu sudaro alkenilo grandinėlę, o n yra 0, 1 arba 2, o taip pat jų farmaciškai priimtinos druskos yra labai efektyvios antiaritminės medžiagos.@Šie junginiai gaunami būdu, pagal kurį junginius, kurių formulė II, veikia guanidinio dariniais, kurių formulė III, kurioje X yra lengvai nukleofiliškai pakeičiama atskylanti grupė.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