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3061" w14:textId="7659FED7" w:rsidR="00AE77A0" w:rsidRPr="00CC2DC3" w:rsidRDefault="00BA2E9F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AE77A0" w:rsidRPr="00CC2DC3">
        <w:rPr>
          <w:rFonts w:ascii="Helvetica" w:hAnsi="Helvetica" w:cs="Helvetica"/>
          <w:sz w:val="20"/>
          <w:szCs w:val="24"/>
          <w:lang w:val="lt-LT"/>
        </w:rPr>
        <w:t xml:space="preserve">Farmacinė kompozicija, kurios </w:t>
      </w:r>
      <w:r w:rsidR="007A4F33" w:rsidRPr="00CC2DC3">
        <w:rPr>
          <w:rFonts w:ascii="Helvetica" w:hAnsi="Helvetica" w:cs="Helvetica"/>
          <w:sz w:val="20"/>
          <w:szCs w:val="24"/>
          <w:lang w:val="lt-LT"/>
        </w:rPr>
        <w:t xml:space="preserve">sudėtyje kaip </w:t>
      </w:r>
      <w:r w:rsidR="00AE77A0" w:rsidRPr="00CC2DC3">
        <w:rPr>
          <w:rFonts w:ascii="Helvetica" w:hAnsi="Helvetica" w:cs="Helvetica"/>
          <w:sz w:val="20"/>
          <w:szCs w:val="24"/>
          <w:lang w:val="lt-LT"/>
        </w:rPr>
        <w:t>veiklioji medžiaga yra PI3K</w:t>
      </w:r>
      <w:r w:rsidR="005E42F0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E77A0" w:rsidRPr="00CC2DC3">
        <w:rPr>
          <w:rFonts w:ascii="Helvetica" w:hAnsi="Helvetica" w:cs="Helvetica"/>
          <w:sz w:val="20"/>
          <w:szCs w:val="24"/>
          <w:lang w:val="lt-LT"/>
        </w:rPr>
        <w:t xml:space="preserve">I klasės inhibitorius: 5-(7-metansulfonil-2-morfolin-4-il-6,7-dihidro-5H-pirolo[2,3-d]pirimidin-4-il)-pirimidin-2-aminas arba </w:t>
      </w:r>
      <w:r w:rsidR="005E42F0" w:rsidRPr="00CC2DC3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="00AE77A0" w:rsidRPr="00CC2DC3">
        <w:rPr>
          <w:rFonts w:ascii="Helvetica" w:hAnsi="Helvetica" w:cs="Helvetica"/>
          <w:sz w:val="20"/>
          <w:szCs w:val="24"/>
          <w:lang w:val="lt-LT"/>
        </w:rPr>
        <w:t>, skirt</w:t>
      </w:r>
      <w:r w:rsidR="007A4F33" w:rsidRPr="00CC2DC3">
        <w:rPr>
          <w:rFonts w:ascii="Helvetica" w:hAnsi="Helvetica" w:cs="Helvetica"/>
          <w:sz w:val="20"/>
          <w:szCs w:val="24"/>
          <w:lang w:val="lt-LT"/>
        </w:rPr>
        <w:t>a</w:t>
      </w:r>
      <w:r w:rsidR="00AE77A0" w:rsidRPr="00CC2DC3">
        <w:rPr>
          <w:rFonts w:ascii="Helvetica" w:hAnsi="Helvetica" w:cs="Helvetica"/>
          <w:sz w:val="20"/>
          <w:szCs w:val="24"/>
          <w:lang w:val="lt-LT"/>
        </w:rPr>
        <w:t xml:space="preserve"> naudoti priešvėžiniam gydymui kartu su antruoju priešvėžiniu junginiu, ir kur minėtas antrasis priešvėžinis junginys yra parinktas iš grupės, apimančios </w:t>
      </w:r>
      <w:proofErr w:type="spellStart"/>
      <w:r w:rsidR="00AE77A0" w:rsidRPr="00CC2DC3">
        <w:rPr>
          <w:rFonts w:ascii="Helvetica" w:hAnsi="Helvetica" w:cs="Helvetica"/>
          <w:sz w:val="20"/>
          <w:szCs w:val="24"/>
          <w:lang w:val="lt-LT"/>
        </w:rPr>
        <w:t>cetuksimabą</w:t>
      </w:r>
      <w:proofErr w:type="spellEnd"/>
      <w:r w:rsidR="00AE77A0" w:rsidRPr="00CC2DC3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E77A0" w:rsidRPr="00CC2DC3">
        <w:rPr>
          <w:rFonts w:ascii="Helvetica" w:hAnsi="Helvetica" w:cs="Helvetica"/>
          <w:sz w:val="20"/>
          <w:szCs w:val="24"/>
          <w:lang w:val="lt-LT"/>
        </w:rPr>
        <w:t>bevacizumabą</w:t>
      </w:r>
      <w:proofErr w:type="spellEnd"/>
      <w:r w:rsidR="00AE77A0" w:rsidRPr="00CC2DC3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E77A0" w:rsidRPr="00CC2DC3">
        <w:rPr>
          <w:rFonts w:ascii="Helvetica" w:hAnsi="Helvetica" w:cs="Helvetica"/>
          <w:sz w:val="20"/>
          <w:szCs w:val="24"/>
          <w:lang w:val="lt-LT"/>
        </w:rPr>
        <w:t>fulvestrantą</w:t>
      </w:r>
      <w:proofErr w:type="spellEnd"/>
      <w:r w:rsidR="00AE77A0" w:rsidRPr="00CC2DC3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AE77A0" w:rsidRPr="00CC2DC3">
        <w:rPr>
          <w:rFonts w:ascii="Helvetica" w:hAnsi="Helvetica" w:cs="Helvetica"/>
          <w:sz w:val="20"/>
          <w:szCs w:val="24"/>
          <w:lang w:val="lt-LT"/>
        </w:rPr>
        <w:t>gefitinibą</w:t>
      </w:r>
      <w:proofErr w:type="spellEnd"/>
      <w:r w:rsidR="00AE77A0"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6C379639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5D49D01" w14:textId="1C487E54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>2. Farmacinė kompozicija pagal 1 punktą, skirta naudoti</w:t>
      </w:r>
      <w:r w:rsidR="005E42F0" w:rsidRPr="00CC2DC3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storosios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žarnos vėžio, prostatos vėžio, krūties vėžio, plaučių vėžio, kiaušidžių vėžio priešvėžin</w:t>
      </w:r>
      <w:r w:rsidR="005E42F0" w:rsidRPr="00CC2DC3">
        <w:rPr>
          <w:rFonts w:ascii="Helvetica" w:hAnsi="Helvetica" w:cs="Helvetica"/>
          <w:sz w:val="20"/>
          <w:szCs w:val="24"/>
          <w:lang w:val="lt-LT"/>
        </w:rPr>
        <w:t>į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gydym</w:t>
      </w:r>
      <w:r w:rsidR="005E42F0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568E3562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47D1CC3" w14:textId="216E8472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3. Farmacinė kompozicija pagal 2 punktą, skirta naudoti gydant gaubtinės ir tiesiosios žarnos vėžį su PI3KCA ir laukinio tipo KRAS mutacijomis, gaubtinės ir tiesiosios žarnos vėžį su PI3KCA ir KRAS mutacijomis,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nesmulkialąstelinę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 plaučių karcinomą (NSCLC) su mutacija 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PI3KCA ir EGFR </w:t>
      </w:r>
      <w:r w:rsidRPr="00CC2DC3">
        <w:rPr>
          <w:rFonts w:ascii="Helvetica" w:hAnsi="Helvetica" w:cs="Helvetica"/>
          <w:sz w:val="20"/>
          <w:szCs w:val="24"/>
          <w:lang w:val="lt-LT"/>
        </w:rPr>
        <w:t>arba be jos, HER2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 atžvilgiu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teigiam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krūties karcinom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su PI3KCA mutacija, HER2 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atžvilgiu </w:t>
      </w:r>
      <w:r w:rsidRPr="00CC2DC3">
        <w:rPr>
          <w:rFonts w:ascii="Helvetica" w:hAnsi="Helvetica" w:cs="Helvetica"/>
          <w:sz w:val="20"/>
          <w:szCs w:val="24"/>
          <w:lang w:val="lt-LT"/>
        </w:rPr>
        <w:t>teigiam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ir ER 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atžvilgiu </w:t>
      </w:r>
      <w:r w:rsidRPr="00CC2DC3">
        <w:rPr>
          <w:rFonts w:ascii="Helvetica" w:hAnsi="Helvetica" w:cs="Helvetica"/>
          <w:sz w:val="20"/>
          <w:szCs w:val="24"/>
          <w:lang w:val="lt-LT"/>
        </w:rPr>
        <w:t>teigiam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krūties vėž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į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2B3A9B46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769EC0" w14:textId="497F549B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>4. Farmacinė kompozicija, skirta naudoti pagal bet kurį iš 1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>-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3 punktų, tinkama PI3k I klasės inhibitoriaus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 vartojimui, skirta naudoti kartu su kompozicija, 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kurios sudėtyje yra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antr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as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priešvėžin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is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jungin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>ys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1A436344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B1DD8BB" w14:textId="1E89B61D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5. Farmacinė kompozicija, skirta naudoti pagal 4 punktą, apimanti 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pakankamą </w:t>
      </w:r>
      <w:r w:rsidRPr="00CC2DC3">
        <w:rPr>
          <w:rFonts w:ascii="Helvetica" w:hAnsi="Helvetica" w:cs="Helvetica"/>
          <w:sz w:val="20"/>
          <w:szCs w:val="24"/>
          <w:lang w:val="lt-LT"/>
        </w:rPr>
        <w:t>PI3K</w:t>
      </w:r>
      <w:r w:rsidR="002C28EB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1 klasės inhibitoriaus kiekį vienetinei 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 xml:space="preserve">dozei nuo </w:t>
      </w:r>
      <w:r w:rsidRPr="00CC2DC3">
        <w:rPr>
          <w:rFonts w:ascii="Helvetica" w:hAnsi="Helvetica" w:cs="Helvetica"/>
          <w:sz w:val="20"/>
          <w:szCs w:val="24"/>
          <w:lang w:val="lt-LT"/>
        </w:rPr>
        <w:t>1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C2DC3">
        <w:rPr>
          <w:rFonts w:ascii="Helvetica" w:hAnsi="Helvetica" w:cs="Helvetica"/>
          <w:sz w:val="20"/>
          <w:szCs w:val="24"/>
          <w:lang w:val="lt-LT"/>
        </w:rPr>
        <w:t>10 mg/kg kūno svorio.</w:t>
      </w:r>
    </w:p>
    <w:p w14:paraId="658A68C0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178AAE" w14:textId="67C3C3EA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>6. Farmacinė kompozicija, skirta naudoti pagal 5 punktą, skirta vienetinei PI3K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>1 klasės inhibitoriaus dozei nuo 5 iki 7 mg/kg kūno svorio.</w:t>
      </w:r>
    </w:p>
    <w:p w14:paraId="467B9301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D8F74D1" w14:textId="72B5B672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>7. Farmacinė kompozicija, skirta naudoti pagal bet kurį iš 4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>-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6 punktų, skirta naudoti kartu su farmacine kompozicija, tinkama antrojo priešvėžinio junginio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EA3171" w:rsidRPr="00CC2DC3">
        <w:rPr>
          <w:rFonts w:ascii="Helvetica" w:hAnsi="Helvetica" w:cs="Helvetica"/>
          <w:sz w:val="20"/>
          <w:szCs w:val="24"/>
          <w:lang w:val="lt-LT"/>
        </w:rPr>
        <w:t>parenteriniam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 vartojimui.</w:t>
      </w:r>
    </w:p>
    <w:p w14:paraId="0C0A8D58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C5FA33F" w14:textId="4973214B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>8. Farmacinė kompozicija, skirta naudoti pagal 7 punktą, skirta naudoti kartu su farmacine kompozicija, apimančia antrojo priešvėžinio junginio kiekį, tinkamą vienetinei 10-80 mg/kg kūno svorio dozei.</w:t>
      </w:r>
    </w:p>
    <w:p w14:paraId="503E7EB0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9D204BD" w14:textId="78F4E48E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9. Farmacinė kompozicija, skirta naudoti pagal 8 punktą, skirta naudoti kartu su farmacine kompozicija, apimančia antrojo priešvėžinio junginio kiekį, tinkamą vienetinei dozei nuo 20 iki 70 mg/kg kūno svorio, 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>pageidautina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nuo 30 iki 50 mg/kg kūno svorio.</w:t>
      </w:r>
    </w:p>
    <w:p w14:paraId="06E0E1B1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8472B05" w14:textId="532790D0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10. 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>Rinkinys, sudarytas iš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 xml:space="preserve"> dalių,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apimantis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farmacin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ę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kompozicij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, kurios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sudėtyje kaip veiklusis junginys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yra PI3K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I klasės inhibitorius: 5-(7-metansulfonil-2-morfolin-4-il-6,7-dihidro-5H-pirolo[2,3-d]pirimidin-4-il)-pirimidin-2-aminas arba </w:t>
      </w:r>
      <w:r w:rsidR="005E42F0" w:rsidRPr="00CC2DC3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CC2DC3">
        <w:rPr>
          <w:rFonts w:ascii="Helvetica" w:hAnsi="Helvetica" w:cs="Helvetica"/>
          <w:sz w:val="20"/>
          <w:szCs w:val="24"/>
          <w:lang w:val="lt-LT"/>
        </w:rPr>
        <w:t>, ir ant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rąją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farmacinę kompoziciją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kurios sudėtyje yra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antr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asis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priešvėžin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is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jungin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ys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, ir kur minėtas antrasis priešvėžinis junginys yra parinktas iš grupės, apimančios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cetuksimabą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bevacizumabą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fulvestrantą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gefitinibą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, skirtas naudoti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 xml:space="preserve">taikant </w:t>
      </w:r>
      <w:r w:rsidR="00DF07AF" w:rsidRPr="00CC2DC3">
        <w:rPr>
          <w:rFonts w:ascii="Helvetica" w:hAnsi="Helvetica" w:cs="Helvetica"/>
          <w:sz w:val="20"/>
          <w:szCs w:val="24"/>
          <w:lang w:val="lt-LT"/>
        </w:rPr>
        <w:t>kompleksinį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priešvėžin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į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gydym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ą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72EE11FB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D2CC08" w14:textId="171D0C86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11.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Rinkinys, sudarytas iš dalių,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skirtas naudoti pagal 10 punktą, kur priešvėžinis </w:t>
      </w:r>
      <w:r w:rsidR="00DF07AF" w:rsidRPr="00CC2DC3">
        <w:rPr>
          <w:rFonts w:ascii="Helvetica" w:hAnsi="Helvetica" w:cs="Helvetica"/>
          <w:sz w:val="20"/>
          <w:szCs w:val="24"/>
          <w:lang w:val="lt-LT"/>
        </w:rPr>
        <w:t>kompleksinis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gydymas yra 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>storosios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žarnos, prostatos, krūties, plaučių, kiaušidžių vėž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>io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108814FF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B0DF8F4" w14:textId="43460B7C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12.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Rinkinys, sudarytas iš dalių,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pagal 11 punktą, skirtas naudoti 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gaubtinės ir tiesiosios žarnos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karcinomos su PI3KCA ir laukinio tipo KRAS mutacijomis, gaubtinės ir tiesiosios žarnos karcinomos su PI3KCA ir KRAS mutacijomis, </w:t>
      </w:r>
      <w:proofErr w:type="spellStart"/>
      <w:r w:rsidR="00E14003" w:rsidRPr="00CC2DC3">
        <w:rPr>
          <w:rFonts w:ascii="Helvetica" w:hAnsi="Helvetica" w:cs="Helvetica"/>
          <w:sz w:val="20"/>
          <w:szCs w:val="24"/>
          <w:lang w:val="lt-LT"/>
        </w:rPr>
        <w:t>nesmulkialąstelinę</w:t>
      </w:r>
      <w:proofErr w:type="spellEnd"/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plaučių karcinomą (NSCLC) su mutacija PI3KCA ir EGFR arba be jos, HER2 atžvilgiu teigiamo krūties vėžio su PI3KCA mutacija, HER2 atžvilgiu teigiamo ir ER atžvilgiu teigiamo krūties vėžio</w:t>
      </w:r>
      <w:r w:rsidR="00DF07AF" w:rsidRPr="00CC2DC3">
        <w:rPr>
          <w:rFonts w:ascii="Helvetica" w:hAnsi="Helvetica" w:cs="Helvetica"/>
          <w:sz w:val="20"/>
          <w:szCs w:val="24"/>
          <w:lang w:val="lt-LT"/>
        </w:rPr>
        <w:t xml:space="preserve"> kompleksiniam gydymui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p w14:paraId="3390DBF3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D12108" w14:textId="71336A49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13.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Rinkinys, sudarytas iš dalių,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skirtas naudoti pagal bet kurį iš 10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>-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>12 punktų, kur pirmoji farmacinė kompozicija apima PI3K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1 klasės inhibitoriaus kiekį, pakankamą vienetinei 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dozei nuo </w:t>
      </w:r>
      <w:r w:rsidRPr="00CC2DC3">
        <w:rPr>
          <w:rFonts w:ascii="Helvetica" w:hAnsi="Helvetica" w:cs="Helvetica"/>
          <w:sz w:val="20"/>
          <w:szCs w:val="24"/>
          <w:lang w:val="lt-LT"/>
        </w:rPr>
        <w:t>1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10 mg/kg kūno svorio, 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>pageidautina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nuo 5 iki 7 mg/kg kūno svorio.</w:t>
      </w:r>
    </w:p>
    <w:p w14:paraId="31FB3A91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17EEAF" w14:textId="3FED5878" w:rsidR="00AE77A0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14.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Rinkinys, sudarytas iš dalių,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skirtas naudoti pagal 13 punktą, kur antroji kompozicija apima antrojo priešvėžinio junginio kiekį, tinkamą vienetinei dozei nuo 10 iki 80 mg/kg kūno svorio, </w:t>
      </w:r>
      <w:r w:rsidR="00EA3171" w:rsidRPr="00CC2DC3">
        <w:rPr>
          <w:rFonts w:ascii="Helvetica" w:hAnsi="Helvetica" w:cs="Helvetica"/>
          <w:sz w:val="20"/>
          <w:szCs w:val="24"/>
          <w:lang w:val="lt-LT"/>
        </w:rPr>
        <w:t>pageidautina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nuo 20 iki 70 mg/kg arba nuo 30 iki 50 mg/kg kūno svorio.</w:t>
      </w:r>
    </w:p>
    <w:p w14:paraId="61406301" w14:textId="77777777" w:rsidR="00AE77A0" w:rsidRPr="00CC2DC3" w:rsidRDefault="00AE77A0" w:rsidP="00CC2DC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3FFBF740" w:rsidR="00035E1E" w:rsidRPr="00CC2DC3" w:rsidRDefault="00AE77A0" w:rsidP="00CC2DC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C2DC3">
        <w:rPr>
          <w:rFonts w:ascii="Helvetica" w:hAnsi="Helvetica" w:cs="Helvetica"/>
          <w:sz w:val="20"/>
          <w:szCs w:val="24"/>
          <w:lang w:val="lt-LT"/>
        </w:rPr>
        <w:t xml:space="preserve">15. </w:t>
      </w:r>
      <w:r w:rsidR="0040285D" w:rsidRPr="00CC2DC3">
        <w:rPr>
          <w:rFonts w:ascii="Helvetica" w:hAnsi="Helvetica" w:cs="Helvetica"/>
          <w:sz w:val="20"/>
          <w:szCs w:val="24"/>
          <w:lang w:val="lt-LT"/>
        </w:rPr>
        <w:t>Rinkinys, sudarytas iš dalių,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skirtas naudoti pagal bet kurį iš 10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>-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14 punktų, kur pirmoji kompozicija yra tinkama PI3k I klasės inhibitorių </w:t>
      </w:r>
      <w:proofErr w:type="spellStart"/>
      <w:r w:rsidRPr="00CC2DC3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CC2DC3">
        <w:rPr>
          <w:rFonts w:ascii="Helvetica" w:hAnsi="Helvetica" w:cs="Helvetica"/>
          <w:sz w:val="20"/>
          <w:szCs w:val="24"/>
          <w:lang w:val="lt-LT"/>
        </w:rPr>
        <w:t xml:space="preserve"> vartojimui, </w:t>
      </w:r>
      <w:r w:rsidR="00E14003" w:rsidRPr="00CC2DC3">
        <w:rPr>
          <w:rFonts w:ascii="Helvetica" w:hAnsi="Helvetica" w:cs="Helvetica"/>
          <w:sz w:val="20"/>
          <w:szCs w:val="24"/>
          <w:lang w:val="lt-LT"/>
        </w:rPr>
        <w:t>ir</w:t>
      </w:r>
      <w:r w:rsidRPr="00CC2DC3">
        <w:rPr>
          <w:rFonts w:ascii="Helvetica" w:hAnsi="Helvetica" w:cs="Helvetica"/>
          <w:sz w:val="20"/>
          <w:szCs w:val="24"/>
          <w:lang w:val="lt-LT"/>
        </w:rPr>
        <w:t xml:space="preserve"> antroji kompozicija yra tinkama </w:t>
      </w:r>
      <w:proofErr w:type="spellStart"/>
      <w:r w:rsidR="00E14003" w:rsidRPr="00CC2DC3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E14003" w:rsidRPr="00CC2DC3">
        <w:rPr>
          <w:rFonts w:ascii="Helvetica" w:hAnsi="Helvetica" w:cs="Helvetica"/>
          <w:sz w:val="20"/>
          <w:szCs w:val="24"/>
          <w:lang w:val="lt-LT"/>
        </w:rPr>
        <w:t>parenteriniam</w:t>
      </w:r>
      <w:proofErr w:type="spellEnd"/>
      <w:r w:rsidR="00E14003" w:rsidRPr="00CC2DC3">
        <w:rPr>
          <w:rFonts w:ascii="Helvetica" w:hAnsi="Helvetica" w:cs="Helvetica"/>
          <w:sz w:val="20"/>
          <w:szCs w:val="24"/>
          <w:lang w:val="lt-LT"/>
        </w:rPr>
        <w:t xml:space="preserve"> vartojimui</w:t>
      </w:r>
      <w:r w:rsidRPr="00CC2DC3">
        <w:rPr>
          <w:rFonts w:ascii="Helvetica" w:hAnsi="Helvetica" w:cs="Helvetica"/>
          <w:sz w:val="20"/>
          <w:szCs w:val="24"/>
          <w:lang w:val="lt-LT"/>
        </w:rPr>
        <w:t>.</w:t>
      </w:r>
    </w:p>
    <w:sectPr w:rsidR="00035E1E" w:rsidRPr="00CC2DC3" w:rsidSect="00CC2DC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3F1B" w14:textId="77777777" w:rsidR="0026034F" w:rsidRDefault="0026034F" w:rsidP="007B0A41">
      <w:pPr>
        <w:spacing w:after="0" w:line="240" w:lineRule="auto"/>
      </w:pPr>
      <w:r>
        <w:separator/>
      </w:r>
    </w:p>
  </w:endnote>
  <w:endnote w:type="continuationSeparator" w:id="0">
    <w:p w14:paraId="1702858C" w14:textId="77777777" w:rsidR="0026034F" w:rsidRDefault="0026034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28C0" w14:textId="77777777" w:rsidR="0026034F" w:rsidRDefault="0026034F" w:rsidP="007B0A41">
      <w:pPr>
        <w:spacing w:after="0" w:line="240" w:lineRule="auto"/>
      </w:pPr>
      <w:r>
        <w:separator/>
      </w:r>
    </w:p>
  </w:footnote>
  <w:footnote w:type="continuationSeparator" w:id="0">
    <w:p w14:paraId="201C9773" w14:textId="77777777" w:rsidR="0026034F" w:rsidRDefault="0026034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B1053"/>
    <w:rsid w:val="00114CEC"/>
    <w:rsid w:val="00120AC9"/>
    <w:rsid w:val="00121D84"/>
    <w:rsid w:val="001308ED"/>
    <w:rsid w:val="00134454"/>
    <w:rsid w:val="00145EBC"/>
    <w:rsid w:val="001668DF"/>
    <w:rsid w:val="00184051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34F"/>
    <w:rsid w:val="00260D4E"/>
    <w:rsid w:val="00263A3E"/>
    <w:rsid w:val="00270962"/>
    <w:rsid w:val="002837FC"/>
    <w:rsid w:val="0029749A"/>
    <w:rsid w:val="002C28EB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0285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E42F0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27CB8"/>
    <w:rsid w:val="0076080B"/>
    <w:rsid w:val="007752B9"/>
    <w:rsid w:val="007760A8"/>
    <w:rsid w:val="00780575"/>
    <w:rsid w:val="00790202"/>
    <w:rsid w:val="00792C7E"/>
    <w:rsid w:val="00795D58"/>
    <w:rsid w:val="007A4B6F"/>
    <w:rsid w:val="007A4F33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AC4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AE77A0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C2DC3"/>
    <w:rsid w:val="00CD04F3"/>
    <w:rsid w:val="00CE09D3"/>
    <w:rsid w:val="00CE12E8"/>
    <w:rsid w:val="00CE42D1"/>
    <w:rsid w:val="00CF22CE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07AF"/>
    <w:rsid w:val="00DF2C8B"/>
    <w:rsid w:val="00E0433E"/>
    <w:rsid w:val="00E1104B"/>
    <w:rsid w:val="00E14003"/>
    <w:rsid w:val="00E14BB7"/>
    <w:rsid w:val="00E1543E"/>
    <w:rsid w:val="00E2583B"/>
    <w:rsid w:val="00E321B7"/>
    <w:rsid w:val="00E90835"/>
    <w:rsid w:val="00EA3171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3657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2023-08-09T17:40:00Z</dcterms:created>
  <dcterms:modified xsi:type="dcterms:W3CDTF">2023-08-23T10:38:00Z</dcterms:modified>
</cp:coreProperties>
</file>