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7D5C" w14:textId="77777777" w:rsidR="00D85B8C" w:rsidRPr="00D85B8C" w:rsidRDefault="00881C15" w:rsidP="00D85B8C">
      <w:pPr>
        <w:shd w:val="clear" w:color="auto" w:fill="FFFFFF"/>
        <w:spacing w:after="0" w:line="360" w:lineRule="auto"/>
        <w:ind w:firstLine="567"/>
        <w:jc w:val="both"/>
        <w:rPr>
          <w:rFonts w:ascii="Helvetica" w:hAnsi="Helvetica" w:cs="Arial"/>
          <w:sz w:val="20"/>
          <w:szCs w:val="24"/>
        </w:rPr>
      </w:pPr>
      <w:r w:rsidRPr="00D85B8C">
        <w:rPr>
          <w:rFonts w:ascii="Helvetica" w:hAnsi="Helvetica" w:cs="Arial"/>
          <w:sz w:val="20"/>
          <w:szCs w:val="24"/>
        </w:rPr>
        <w:t>1. Antikūnas arba antigeną surišantis jo fragmentas, kuris rišasi su žmogaus leptino receptoriumi (LEPR) ir aktyvuoja LEPR signalo perdavimą, apimantis sunkiosios grandinės kintamąją sritį (HCVR), kuri apima HCDR1, HCDR2 ir HCDR3 ir</w:t>
      </w:r>
      <w:r w:rsidR="00D272AF" w:rsidRPr="00D85B8C">
        <w:rPr>
          <w:rFonts w:ascii="Helvetica" w:hAnsi="Helvetica" w:cs="Arial"/>
          <w:sz w:val="20"/>
          <w:szCs w:val="24"/>
        </w:rPr>
        <w:t xml:space="preserve"> apima</w:t>
      </w:r>
      <w:r w:rsidRPr="00D85B8C">
        <w:rPr>
          <w:rFonts w:ascii="Helvetica" w:hAnsi="Helvetica" w:cs="Arial"/>
          <w:sz w:val="20"/>
          <w:szCs w:val="24"/>
        </w:rPr>
        <w:t xml:space="preserve"> aminorūgščių sek</w:t>
      </w:r>
      <w:r w:rsidR="00D272AF" w:rsidRPr="00D85B8C">
        <w:rPr>
          <w:rFonts w:ascii="Helvetica" w:hAnsi="Helvetica" w:cs="Arial"/>
          <w:sz w:val="20"/>
          <w:szCs w:val="24"/>
        </w:rPr>
        <w:t>ą,</w:t>
      </w:r>
      <w:r w:rsidRPr="00D85B8C">
        <w:rPr>
          <w:rFonts w:ascii="Helvetica" w:hAnsi="Helvetica" w:cs="Arial"/>
          <w:sz w:val="20"/>
          <w:szCs w:val="24"/>
        </w:rPr>
        <w:t xml:space="preserve"> nurodyt</w:t>
      </w:r>
      <w:r w:rsidR="00D272AF" w:rsidRPr="00D85B8C">
        <w:rPr>
          <w:rFonts w:ascii="Helvetica" w:hAnsi="Helvetica" w:cs="Arial"/>
          <w:sz w:val="20"/>
          <w:szCs w:val="24"/>
        </w:rPr>
        <w:t>ą</w:t>
      </w:r>
      <w:r w:rsidRPr="00D85B8C">
        <w:rPr>
          <w:rFonts w:ascii="Helvetica" w:hAnsi="Helvetica" w:cs="Arial"/>
          <w:sz w:val="20"/>
          <w:szCs w:val="24"/>
        </w:rPr>
        <w:t xml:space="preserve"> SEQ ID Nr. 26, ir lengvosios grandinės kintamąją sritį (LCVR), kuri apima LCDR1, LCDR2 ir LCDR3 ir</w:t>
      </w:r>
      <w:r w:rsidR="00D272AF" w:rsidRPr="00D85B8C">
        <w:rPr>
          <w:rFonts w:ascii="Helvetica" w:hAnsi="Helvetica" w:cs="Arial"/>
          <w:sz w:val="20"/>
          <w:szCs w:val="24"/>
        </w:rPr>
        <w:t xml:space="preserve"> apima</w:t>
      </w:r>
      <w:r w:rsidRPr="00D85B8C">
        <w:rPr>
          <w:rFonts w:ascii="Helvetica" w:hAnsi="Helvetica" w:cs="Arial"/>
          <w:sz w:val="20"/>
          <w:szCs w:val="24"/>
        </w:rPr>
        <w:t xml:space="preserve"> aminorūgščių sek</w:t>
      </w:r>
      <w:r w:rsidR="00D272AF" w:rsidRPr="00D85B8C">
        <w:rPr>
          <w:rFonts w:ascii="Helvetica" w:hAnsi="Helvetica" w:cs="Arial"/>
          <w:sz w:val="20"/>
          <w:szCs w:val="24"/>
        </w:rPr>
        <w:t>ą,</w:t>
      </w:r>
      <w:r w:rsidRPr="00D85B8C">
        <w:rPr>
          <w:rFonts w:ascii="Helvetica" w:hAnsi="Helvetica" w:cs="Arial"/>
          <w:sz w:val="20"/>
          <w:szCs w:val="24"/>
        </w:rPr>
        <w:t xml:space="preserve"> nurodyt</w:t>
      </w:r>
      <w:r w:rsidR="00D272AF" w:rsidRPr="00D85B8C">
        <w:rPr>
          <w:rFonts w:ascii="Helvetica" w:hAnsi="Helvetica" w:cs="Arial"/>
          <w:sz w:val="20"/>
          <w:szCs w:val="24"/>
        </w:rPr>
        <w:t>ą</w:t>
      </w:r>
      <w:r w:rsidRPr="00D85B8C">
        <w:rPr>
          <w:rFonts w:ascii="Helvetica" w:hAnsi="Helvetica" w:cs="Arial"/>
          <w:sz w:val="20"/>
          <w:szCs w:val="24"/>
        </w:rPr>
        <w:t xml:space="preserve"> SEQ ID Nr. 10, kur CDR sritys nustatytos pagal Kabat, </w:t>
      </w:r>
      <w:proofErr w:type="spellStart"/>
      <w:r w:rsidRPr="00D85B8C">
        <w:rPr>
          <w:rFonts w:ascii="Helvetica" w:hAnsi="Helvetica" w:cs="Arial"/>
          <w:sz w:val="20"/>
          <w:szCs w:val="24"/>
        </w:rPr>
        <w:t>Chothia</w:t>
      </w:r>
      <w:proofErr w:type="spellEnd"/>
      <w:r w:rsidRPr="00D85B8C">
        <w:rPr>
          <w:rFonts w:ascii="Helvetica" w:hAnsi="Helvetica" w:cs="Arial"/>
          <w:sz w:val="20"/>
          <w:szCs w:val="24"/>
        </w:rPr>
        <w:t xml:space="preserve"> arba </w:t>
      </w:r>
      <w:proofErr w:type="spellStart"/>
      <w:r w:rsidRPr="00D85B8C">
        <w:rPr>
          <w:rFonts w:ascii="Helvetica" w:hAnsi="Helvetica" w:cs="Arial"/>
          <w:sz w:val="20"/>
          <w:szCs w:val="24"/>
        </w:rPr>
        <w:t>AbM</w:t>
      </w:r>
      <w:proofErr w:type="spellEnd"/>
      <w:r w:rsidRPr="00D85B8C">
        <w:rPr>
          <w:rFonts w:ascii="Helvetica" w:hAnsi="Helvetica" w:cs="Arial"/>
          <w:sz w:val="20"/>
          <w:szCs w:val="24"/>
        </w:rPr>
        <w:t xml:space="preserve">, ir </w:t>
      </w:r>
      <w:proofErr w:type="spellStart"/>
      <w:r w:rsidRPr="00D85B8C">
        <w:rPr>
          <w:rFonts w:ascii="Helvetica" w:hAnsi="Helvetica" w:cs="Arial"/>
          <w:sz w:val="20"/>
          <w:szCs w:val="24"/>
        </w:rPr>
        <w:t>farmaciškai</w:t>
      </w:r>
      <w:proofErr w:type="spellEnd"/>
      <w:r w:rsidRPr="00D85B8C">
        <w:rPr>
          <w:rFonts w:ascii="Helvetica" w:hAnsi="Helvetica" w:cs="Arial"/>
          <w:sz w:val="20"/>
          <w:szCs w:val="24"/>
        </w:rPr>
        <w:t xml:space="preserve"> priimtiną nešiklį arba skiediklį, skirtą naudoti būdui, kuriuo didinama kaulų masė subjektui, kurio sumažėjusi kaulų masė yra medžiagų apykaitos sutrikimo arba </w:t>
      </w:r>
      <w:proofErr w:type="spellStart"/>
      <w:r w:rsidRPr="00D85B8C">
        <w:rPr>
          <w:rFonts w:ascii="Helvetica" w:hAnsi="Helvetica" w:cs="Arial"/>
          <w:sz w:val="20"/>
          <w:szCs w:val="24"/>
        </w:rPr>
        <w:t>hipoleptinemijos</w:t>
      </w:r>
      <w:proofErr w:type="spellEnd"/>
      <w:r w:rsidRPr="00D85B8C">
        <w:rPr>
          <w:rFonts w:ascii="Helvetica" w:hAnsi="Helvetica" w:cs="Arial"/>
          <w:sz w:val="20"/>
          <w:szCs w:val="24"/>
        </w:rPr>
        <w:t xml:space="preserve">, </w:t>
      </w:r>
      <w:r w:rsidR="00D272AF" w:rsidRPr="00D85B8C">
        <w:rPr>
          <w:rFonts w:ascii="Helvetica" w:hAnsi="Helvetica" w:cs="Arial"/>
          <w:sz w:val="20"/>
          <w:szCs w:val="24"/>
        </w:rPr>
        <w:t>dėl</w:t>
      </w:r>
      <w:r w:rsidRPr="00D85B8C">
        <w:rPr>
          <w:rFonts w:ascii="Helvetica" w:hAnsi="Helvetica" w:cs="Arial"/>
          <w:sz w:val="20"/>
          <w:szCs w:val="24"/>
        </w:rPr>
        <w:t xml:space="preserve"> kurių subjektas kenčia,</w:t>
      </w:r>
      <w:r w:rsidR="00C64CD9" w:rsidRPr="00D85B8C">
        <w:rPr>
          <w:rFonts w:ascii="Helvetica" w:hAnsi="Helvetica" w:cs="Arial"/>
          <w:sz w:val="20"/>
          <w:szCs w:val="24"/>
        </w:rPr>
        <w:t xml:space="preserve"> simptomas,</w:t>
      </w:r>
      <w:r w:rsidRPr="00D85B8C">
        <w:rPr>
          <w:rFonts w:ascii="Helvetica" w:hAnsi="Helvetica" w:cs="Arial"/>
          <w:sz w:val="20"/>
          <w:szCs w:val="24"/>
        </w:rPr>
        <w:t xml:space="preserve"> minėtasis būdas apima terapiniu požiūriu veiksmingo antikūno arba antigeną surišančio</w:t>
      </w:r>
      <w:r w:rsidR="00BF4719" w:rsidRPr="00D85B8C">
        <w:rPr>
          <w:rFonts w:ascii="Helvetica" w:hAnsi="Helvetica" w:cs="Arial"/>
          <w:sz w:val="20"/>
          <w:szCs w:val="24"/>
        </w:rPr>
        <w:t xml:space="preserve"> jo</w:t>
      </w:r>
      <w:r w:rsidRPr="00D85B8C">
        <w:rPr>
          <w:rFonts w:ascii="Helvetica" w:hAnsi="Helvetica" w:cs="Arial"/>
          <w:sz w:val="20"/>
          <w:szCs w:val="24"/>
        </w:rPr>
        <w:t xml:space="preserve"> fragmento ir </w:t>
      </w:r>
      <w:proofErr w:type="spellStart"/>
      <w:r w:rsidRPr="00D85B8C">
        <w:rPr>
          <w:rFonts w:ascii="Helvetica" w:hAnsi="Helvetica" w:cs="Arial"/>
          <w:sz w:val="20"/>
          <w:szCs w:val="24"/>
        </w:rPr>
        <w:t>farmaciškai</w:t>
      </w:r>
      <w:proofErr w:type="spellEnd"/>
      <w:r w:rsidRPr="00D85B8C">
        <w:rPr>
          <w:rFonts w:ascii="Helvetica" w:hAnsi="Helvetica" w:cs="Arial"/>
          <w:sz w:val="20"/>
          <w:szCs w:val="24"/>
        </w:rPr>
        <w:t xml:space="preserve"> priimtino nešiklio arba skiediklio skyrimą subjektui, kuriam to reikia.</w:t>
      </w:r>
    </w:p>
    <w:p w14:paraId="5403E5F9" w14:textId="77777777" w:rsidR="00D85B8C" w:rsidRPr="00D85B8C" w:rsidRDefault="00D85B8C" w:rsidP="00D85B8C">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p>
    <w:p w14:paraId="55D68298" w14:textId="0B69F011" w:rsidR="00D85B8C" w:rsidRPr="00D85B8C" w:rsidRDefault="00BF4719" w:rsidP="00D85B8C">
      <w:pPr>
        <w:shd w:val="clear" w:color="auto" w:fill="FFFFFF"/>
        <w:spacing w:after="0" w:line="360" w:lineRule="auto"/>
        <w:ind w:firstLine="567"/>
        <w:jc w:val="both"/>
        <w:rPr>
          <w:rFonts w:ascii="Helvetica" w:hAnsi="Helvetica" w:cs="Arial"/>
          <w:sz w:val="20"/>
          <w:szCs w:val="24"/>
        </w:rPr>
      </w:pPr>
      <w:r w:rsidRPr="00D85B8C">
        <w:rPr>
          <w:rFonts w:ascii="Helvetica" w:hAnsi="Helvetica" w:cs="Arial"/>
          <w:sz w:val="20"/>
          <w:szCs w:val="24"/>
        </w:rPr>
        <w:t>2. Antikūnas arba antigeną surišantis jo fragmentas, skirtas naudoti pagal 1 punktą, kur:</w:t>
      </w:r>
    </w:p>
    <w:p w14:paraId="7726C038" w14:textId="6DD9C138" w:rsidR="00BF4719" w:rsidRPr="00D85B8C" w:rsidRDefault="00BF4719"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 xml:space="preserve">(a) subjektas, kuriam to reikia, serga </w:t>
      </w:r>
      <w:proofErr w:type="spellStart"/>
      <w:r w:rsidRPr="00D85B8C">
        <w:rPr>
          <w:rFonts w:ascii="Helvetica" w:hAnsi="Helvetica" w:cs="Arial"/>
          <w:sz w:val="20"/>
          <w:szCs w:val="24"/>
        </w:rPr>
        <w:t>hipoleptinemija</w:t>
      </w:r>
      <w:proofErr w:type="spellEnd"/>
      <w:r w:rsidRPr="00D85B8C">
        <w:rPr>
          <w:rFonts w:ascii="Helvetica" w:hAnsi="Helvetica" w:cs="Arial"/>
          <w:sz w:val="20"/>
          <w:szCs w:val="24"/>
        </w:rPr>
        <w:t>;</w:t>
      </w:r>
    </w:p>
    <w:p w14:paraId="592471E0" w14:textId="77777777" w:rsidR="00BF4719" w:rsidRPr="00D85B8C" w:rsidRDefault="00BF4719"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(b) gydymas sumažina riebalinę kūno masę, bet ne liesąją kūno masę;</w:t>
      </w:r>
    </w:p>
    <w:p w14:paraId="13893174" w14:textId="77777777" w:rsidR="00BF4719" w:rsidRPr="00D85B8C" w:rsidRDefault="00BF4719"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(c) gydymas sumažina cirkuliuojančių plazmos trigliceridų kiekį; ir/arba</w:t>
      </w:r>
    </w:p>
    <w:p w14:paraId="14748725" w14:textId="113AE35E" w:rsidR="00BF4719" w:rsidRPr="00D85B8C" w:rsidRDefault="00BF4719" w:rsidP="00D85B8C">
      <w:pPr>
        <w:shd w:val="clear" w:color="auto" w:fill="FFFFFF"/>
        <w:spacing w:after="0" w:line="360" w:lineRule="auto"/>
        <w:jc w:val="both"/>
        <w:rPr>
          <w:rFonts w:ascii="Helvetica" w:eastAsia="Times New Roman" w:hAnsi="Helvetica" w:cs="Arial"/>
          <w:kern w:val="0"/>
          <w:sz w:val="20"/>
          <w:szCs w:val="24"/>
          <w:lang w:eastAsia="lt-LT"/>
          <w14:ligatures w14:val="none"/>
        </w:rPr>
      </w:pPr>
      <w:r w:rsidRPr="00D85B8C">
        <w:rPr>
          <w:rFonts w:ascii="Helvetica" w:hAnsi="Helvetica" w:cs="Arial"/>
          <w:sz w:val="20"/>
          <w:szCs w:val="24"/>
        </w:rPr>
        <w:t>(d) gydymas sumažina cirkuliuojančio plazmos bendrojo cholesterolio kiekį.</w:t>
      </w:r>
    </w:p>
    <w:p w14:paraId="245D0957" w14:textId="55715036" w:rsidR="00C551CE" w:rsidRPr="00D85B8C" w:rsidRDefault="00C551CE" w:rsidP="00D85B8C">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2C95171F" w14:textId="77777777" w:rsidR="00B81DFA" w:rsidRPr="00D85B8C" w:rsidRDefault="00B81DFA" w:rsidP="00D85B8C">
      <w:pPr>
        <w:shd w:val="clear" w:color="auto" w:fill="FFFFFF"/>
        <w:spacing w:after="0" w:line="360" w:lineRule="auto"/>
        <w:ind w:firstLine="567"/>
        <w:jc w:val="both"/>
        <w:rPr>
          <w:rFonts w:ascii="Helvetica" w:hAnsi="Helvetica" w:cs="Arial"/>
          <w:sz w:val="20"/>
          <w:szCs w:val="24"/>
        </w:rPr>
      </w:pPr>
      <w:r w:rsidRPr="00D85B8C">
        <w:rPr>
          <w:rFonts w:ascii="Helvetica" w:hAnsi="Helvetica" w:cs="Arial"/>
          <w:sz w:val="20"/>
          <w:szCs w:val="24"/>
        </w:rPr>
        <w:t>3. Antikūnas arba antigeną surišantis jo fragmentas, skirtas naudoti pagal bet kurį iš 1 arba 2 punktų, kuris apima:</w:t>
      </w:r>
    </w:p>
    <w:p w14:paraId="6537FFAE"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lengvosios grandinės kintamąją sritį, kuri apima:</w:t>
      </w:r>
    </w:p>
    <w:p w14:paraId="14C44F16"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LCDR1, kuri apima aminorūgščių seką, nurodytą SEQ ID Nr. 12;</w:t>
      </w:r>
    </w:p>
    <w:p w14:paraId="1FE652FB"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LCDR2, kuri apima aminorūgščių seką, nurodytą SEQ ID Nr. 14; ir</w:t>
      </w:r>
    </w:p>
    <w:p w14:paraId="170E1519"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LCDR3, kuri apima aminorūgščių seką, nurodytą SEQ ID Nr. 16;</w:t>
      </w:r>
    </w:p>
    <w:p w14:paraId="3C7A894F" w14:textId="407A2D1F" w:rsidR="00D85B8C" w:rsidRPr="00D85B8C" w:rsidRDefault="00D85B8C"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i</w:t>
      </w:r>
      <w:r w:rsidR="00B81DFA" w:rsidRPr="00D85B8C">
        <w:rPr>
          <w:rFonts w:ascii="Helvetica" w:hAnsi="Helvetica" w:cs="Arial"/>
          <w:sz w:val="20"/>
          <w:szCs w:val="24"/>
        </w:rPr>
        <w:t>r</w:t>
      </w:r>
    </w:p>
    <w:p w14:paraId="0F719E10" w14:textId="6F5F778F"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sunkiosios grandinės kintamąją sritį, kuri apima:</w:t>
      </w:r>
    </w:p>
    <w:p w14:paraId="1A57B175"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HCDR1, kuri apima aminorūgščių seką, nurodytą SEQ ID Nr. 28;</w:t>
      </w:r>
    </w:p>
    <w:p w14:paraId="31BBB356"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HCDR2, kuri apima aminorūgščių seką, nurodytą SEQ ID Nr. 30; ir</w:t>
      </w:r>
    </w:p>
    <w:p w14:paraId="2B106B15"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HCDR3, kuri apima aminorūgščių seką, nurodytą SEQ ID Nr. 32.</w:t>
      </w:r>
    </w:p>
    <w:p w14:paraId="567EC6A8" w14:textId="0FE3FA7D" w:rsidR="00C551CE" w:rsidRPr="00D85B8C" w:rsidRDefault="00C551CE" w:rsidP="00D85B8C">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45743702" w14:textId="77777777" w:rsidR="00B81DFA" w:rsidRPr="00D85B8C" w:rsidRDefault="00B81DFA" w:rsidP="00D85B8C">
      <w:pPr>
        <w:shd w:val="clear" w:color="auto" w:fill="FFFFFF"/>
        <w:spacing w:after="0" w:line="360" w:lineRule="auto"/>
        <w:ind w:firstLine="567"/>
        <w:jc w:val="both"/>
        <w:rPr>
          <w:rFonts w:ascii="Helvetica" w:hAnsi="Helvetica" w:cs="Arial"/>
          <w:sz w:val="20"/>
          <w:szCs w:val="24"/>
        </w:rPr>
      </w:pPr>
      <w:r w:rsidRPr="00D85B8C">
        <w:rPr>
          <w:rFonts w:ascii="Helvetica" w:hAnsi="Helvetica" w:cs="Arial"/>
          <w:sz w:val="20"/>
          <w:szCs w:val="24"/>
        </w:rPr>
        <w:t>4. Antikūnas arba antigeną surišantis jo fragmentas, skirtas naudoti pagal bet kurį iš 1–3 punktų, kuris apima:</w:t>
      </w:r>
    </w:p>
    <w:p w14:paraId="31F83714" w14:textId="77777777"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lengvosios grandinės kintamąją sritį, kuri apima aminorūgščių seką, nurodytą SEQ ID Nr. 10; ir</w:t>
      </w:r>
    </w:p>
    <w:p w14:paraId="6B4EFBD0" w14:textId="42F41729" w:rsidR="00B81DFA" w:rsidRPr="00D85B8C" w:rsidRDefault="00B81DFA" w:rsidP="00D85B8C">
      <w:pPr>
        <w:shd w:val="clear" w:color="auto" w:fill="FFFFFF"/>
        <w:spacing w:after="0" w:line="360" w:lineRule="auto"/>
        <w:jc w:val="both"/>
        <w:rPr>
          <w:rFonts w:ascii="Helvetica" w:hAnsi="Helvetica" w:cs="Arial"/>
          <w:sz w:val="20"/>
          <w:szCs w:val="24"/>
        </w:rPr>
      </w:pPr>
      <w:r w:rsidRPr="00D85B8C">
        <w:rPr>
          <w:rFonts w:ascii="Helvetica" w:hAnsi="Helvetica" w:cs="Arial"/>
          <w:sz w:val="20"/>
          <w:szCs w:val="24"/>
        </w:rPr>
        <w:t>sunkiosios grandinės kintamąją sritį, kuri apima aminorūgščių seką, nurodytą SEQ ID Nr. 26.</w:t>
      </w:r>
    </w:p>
    <w:p w14:paraId="29295FF4" w14:textId="77777777" w:rsidR="00F31999" w:rsidRPr="00D85B8C" w:rsidRDefault="00F31999" w:rsidP="00D85B8C">
      <w:pPr>
        <w:shd w:val="clear" w:color="auto" w:fill="FFFFFF"/>
        <w:spacing w:after="0" w:line="360" w:lineRule="auto"/>
        <w:jc w:val="both"/>
        <w:rPr>
          <w:rFonts w:ascii="Helvetica" w:hAnsi="Helvetica" w:cs="Arial"/>
          <w:sz w:val="20"/>
          <w:szCs w:val="24"/>
        </w:rPr>
      </w:pPr>
    </w:p>
    <w:p w14:paraId="0ED4937B" w14:textId="2F23EA65" w:rsidR="00C551CE" w:rsidRPr="00D85B8C" w:rsidRDefault="00F31999" w:rsidP="00D85B8C">
      <w:pPr>
        <w:shd w:val="clear" w:color="auto" w:fill="FFFFFF"/>
        <w:spacing w:after="0" w:line="360" w:lineRule="auto"/>
        <w:ind w:firstLine="567"/>
        <w:jc w:val="both"/>
        <w:rPr>
          <w:rFonts w:ascii="Helvetica" w:hAnsi="Helvetica" w:cs="Arial"/>
          <w:sz w:val="20"/>
          <w:szCs w:val="24"/>
        </w:rPr>
      </w:pPr>
      <w:r w:rsidRPr="00D85B8C">
        <w:rPr>
          <w:rFonts w:ascii="Helvetica" w:hAnsi="Helvetica" w:cs="Arial"/>
          <w:sz w:val="20"/>
          <w:szCs w:val="24"/>
        </w:rPr>
        <w:t>5. Antikūnas arba antigeną surišantis jo fragmentas, skirtas naudoti pagal bet kurį iš 1–4 punktų, kuris yra pilnos struktūros antikūnas.</w:t>
      </w:r>
    </w:p>
    <w:p w14:paraId="7DB6A133" w14:textId="77777777" w:rsidR="00C328AE" w:rsidRPr="00D85B8C" w:rsidRDefault="00C328AE" w:rsidP="00D85B8C">
      <w:pPr>
        <w:spacing w:after="0" w:line="360" w:lineRule="auto"/>
        <w:jc w:val="both"/>
        <w:rPr>
          <w:rFonts w:ascii="Helvetica" w:eastAsia="Times New Roman" w:hAnsi="Helvetica" w:cs="Arial"/>
          <w:color w:val="000000"/>
          <w:kern w:val="0"/>
          <w:sz w:val="20"/>
          <w:szCs w:val="24"/>
          <w:lang w:eastAsia="lt-LT"/>
          <w14:ligatures w14:val="none"/>
        </w:rPr>
      </w:pPr>
    </w:p>
    <w:p w14:paraId="101B38E9" w14:textId="482E313E" w:rsidR="008A2310" w:rsidRPr="00D85B8C" w:rsidRDefault="00F31999" w:rsidP="00D85B8C">
      <w:pPr>
        <w:spacing w:after="0" w:line="360" w:lineRule="auto"/>
        <w:ind w:firstLine="567"/>
        <w:jc w:val="both"/>
        <w:rPr>
          <w:rFonts w:ascii="Helvetica" w:hAnsi="Helvetica" w:cs="Arial"/>
          <w:sz w:val="20"/>
          <w:szCs w:val="24"/>
        </w:rPr>
      </w:pPr>
      <w:r w:rsidRPr="00D85B8C">
        <w:rPr>
          <w:rFonts w:ascii="Helvetica" w:eastAsia="Times New Roman" w:hAnsi="Helvetica" w:cs="Arial"/>
          <w:color w:val="000000"/>
          <w:kern w:val="0"/>
          <w:sz w:val="20"/>
          <w:szCs w:val="24"/>
          <w:lang w:eastAsia="lt-LT"/>
          <w14:ligatures w14:val="none"/>
        </w:rPr>
        <w:t>6.</w:t>
      </w:r>
      <w:r w:rsidR="00D85B8C" w:rsidRPr="00D85B8C">
        <w:rPr>
          <w:rFonts w:ascii="Helvetica" w:eastAsia="Times New Roman" w:hAnsi="Helvetica" w:cs="Arial"/>
          <w:b/>
          <w:bCs/>
          <w:color w:val="000000"/>
          <w:kern w:val="0"/>
          <w:sz w:val="20"/>
          <w:szCs w:val="24"/>
          <w:lang w:eastAsia="lt-LT"/>
          <w14:ligatures w14:val="none"/>
        </w:rPr>
        <w:t xml:space="preserve"> </w:t>
      </w:r>
      <w:r w:rsidRPr="00D85B8C">
        <w:rPr>
          <w:rFonts w:ascii="Helvetica" w:hAnsi="Helvetica" w:cs="Arial"/>
          <w:sz w:val="20"/>
          <w:szCs w:val="24"/>
        </w:rPr>
        <w:t xml:space="preserve">Antikūnas arba antigeną surišantis jo fragmentas, skirtas naudoti pagal bet kurį iš 1–5 punktų, kur būdas papildomai apima antrojo terapinio agento skyrimą subjektui, kur antrasis terapinis agentas yra pasirinktas iš grupės, sudarytos iš </w:t>
      </w:r>
      <w:proofErr w:type="spellStart"/>
      <w:r w:rsidRPr="00D85B8C">
        <w:rPr>
          <w:rFonts w:ascii="Helvetica" w:hAnsi="Helvetica" w:cs="Arial"/>
          <w:sz w:val="20"/>
          <w:szCs w:val="24"/>
        </w:rPr>
        <w:t>rekombinantinio</w:t>
      </w:r>
      <w:proofErr w:type="spellEnd"/>
      <w:r w:rsidRPr="00D85B8C">
        <w:rPr>
          <w:rFonts w:ascii="Helvetica" w:hAnsi="Helvetica" w:cs="Arial"/>
          <w:sz w:val="20"/>
          <w:szCs w:val="24"/>
        </w:rPr>
        <w:t xml:space="preserve"> žmogaus leptino, PCSK9 inhibitoriaus, </w:t>
      </w:r>
      <w:proofErr w:type="spellStart"/>
      <w:r w:rsidRPr="00D85B8C">
        <w:rPr>
          <w:rFonts w:ascii="Helvetica" w:hAnsi="Helvetica" w:cs="Arial"/>
          <w:sz w:val="20"/>
          <w:szCs w:val="24"/>
        </w:rPr>
        <w:t>statino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ezetimibo</w:t>
      </w:r>
      <w:proofErr w:type="spellEnd"/>
      <w:r w:rsidRPr="00D85B8C">
        <w:rPr>
          <w:rFonts w:ascii="Helvetica" w:hAnsi="Helvetica" w:cs="Arial"/>
          <w:sz w:val="20"/>
          <w:szCs w:val="24"/>
        </w:rPr>
        <w:t xml:space="preserve">, insulino, insulino varianto, insulino sekreciją skatinančios medžiagos, </w:t>
      </w:r>
      <w:proofErr w:type="spellStart"/>
      <w:r w:rsidRPr="00D85B8C">
        <w:rPr>
          <w:rFonts w:ascii="Helvetica" w:hAnsi="Helvetica" w:cs="Arial"/>
          <w:sz w:val="20"/>
          <w:szCs w:val="24"/>
        </w:rPr>
        <w:t>metformino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sulfonilurėjos</w:t>
      </w:r>
      <w:proofErr w:type="spellEnd"/>
      <w:r w:rsidRPr="00D85B8C">
        <w:rPr>
          <w:rFonts w:ascii="Helvetica" w:hAnsi="Helvetica" w:cs="Arial"/>
          <w:sz w:val="20"/>
          <w:szCs w:val="24"/>
        </w:rPr>
        <w:t xml:space="preserve">, natrio-gliukozės </w:t>
      </w:r>
      <w:proofErr w:type="spellStart"/>
      <w:r w:rsidRPr="00D85B8C">
        <w:rPr>
          <w:rFonts w:ascii="Helvetica" w:hAnsi="Helvetica" w:cs="Arial"/>
          <w:sz w:val="20"/>
          <w:szCs w:val="24"/>
        </w:rPr>
        <w:t>kotransporterio</w:t>
      </w:r>
      <w:proofErr w:type="spellEnd"/>
      <w:r w:rsidRPr="00D85B8C">
        <w:rPr>
          <w:rFonts w:ascii="Helvetica" w:hAnsi="Helvetica" w:cs="Arial"/>
          <w:sz w:val="20"/>
          <w:szCs w:val="24"/>
        </w:rPr>
        <w:t xml:space="preserve"> 2 (SGLT2) inhibitoriaus, GLP-1 </w:t>
      </w:r>
      <w:proofErr w:type="spellStart"/>
      <w:r w:rsidRPr="00D85B8C">
        <w:rPr>
          <w:rFonts w:ascii="Helvetica" w:hAnsi="Helvetica" w:cs="Arial"/>
          <w:sz w:val="20"/>
          <w:szCs w:val="24"/>
        </w:rPr>
        <w:t>agonisto</w:t>
      </w:r>
      <w:proofErr w:type="spellEnd"/>
      <w:r w:rsidR="00DF5A0A" w:rsidRPr="00D85B8C">
        <w:rPr>
          <w:rFonts w:ascii="Helvetica" w:hAnsi="Helvetica" w:cs="Arial"/>
          <w:sz w:val="20"/>
          <w:szCs w:val="24"/>
        </w:rPr>
        <w:t>/</w:t>
      </w:r>
      <w:r w:rsidRPr="00D85B8C">
        <w:rPr>
          <w:rFonts w:ascii="Helvetica" w:hAnsi="Helvetica" w:cs="Arial"/>
          <w:sz w:val="20"/>
          <w:szCs w:val="24"/>
        </w:rPr>
        <w:t xml:space="preserve">analogo, </w:t>
      </w:r>
      <w:proofErr w:type="spellStart"/>
      <w:r w:rsidRPr="00D85B8C">
        <w:rPr>
          <w:rFonts w:ascii="Helvetica" w:hAnsi="Helvetica" w:cs="Arial"/>
          <w:sz w:val="20"/>
          <w:szCs w:val="24"/>
        </w:rPr>
        <w:t>gliukagono</w:t>
      </w:r>
      <w:proofErr w:type="spellEnd"/>
      <w:r w:rsidRPr="00D85B8C">
        <w:rPr>
          <w:rFonts w:ascii="Helvetica" w:hAnsi="Helvetica" w:cs="Arial"/>
          <w:sz w:val="20"/>
          <w:szCs w:val="24"/>
        </w:rPr>
        <w:t xml:space="preserve"> (GCG) inhibitoriaus, </w:t>
      </w:r>
      <w:proofErr w:type="spellStart"/>
      <w:r w:rsidRPr="00D85B8C">
        <w:rPr>
          <w:rFonts w:ascii="Helvetica" w:hAnsi="Helvetica" w:cs="Arial"/>
          <w:sz w:val="20"/>
          <w:szCs w:val="24"/>
        </w:rPr>
        <w:t>gliukagono</w:t>
      </w:r>
      <w:proofErr w:type="spellEnd"/>
      <w:r w:rsidRPr="00D85B8C">
        <w:rPr>
          <w:rFonts w:ascii="Helvetica" w:hAnsi="Helvetica" w:cs="Arial"/>
          <w:sz w:val="20"/>
          <w:szCs w:val="24"/>
        </w:rPr>
        <w:t xml:space="preserve"> receptoriaus (GCGR) inhibitoriaus, </w:t>
      </w:r>
      <w:proofErr w:type="spellStart"/>
      <w:r w:rsidRPr="00D85B8C">
        <w:rPr>
          <w:rFonts w:ascii="Helvetica" w:hAnsi="Helvetica" w:cs="Arial"/>
          <w:sz w:val="20"/>
          <w:szCs w:val="24"/>
        </w:rPr>
        <w:t>angiopoetino</w:t>
      </w:r>
      <w:proofErr w:type="spellEnd"/>
      <w:r w:rsidRPr="00D85B8C">
        <w:rPr>
          <w:rFonts w:ascii="Helvetica" w:hAnsi="Helvetica" w:cs="Arial"/>
          <w:sz w:val="20"/>
          <w:szCs w:val="24"/>
        </w:rPr>
        <w:t xml:space="preserve"> tipo baltymo (ANGPTL) inhibitoriaus, </w:t>
      </w:r>
      <w:proofErr w:type="spellStart"/>
      <w:r w:rsidRPr="00D85B8C">
        <w:rPr>
          <w:rFonts w:ascii="Helvetica" w:hAnsi="Helvetica" w:cs="Arial"/>
          <w:sz w:val="20"/>
          <w:szCs w:val="24"/>
        </w:rPr>
        <w:t>fentermino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orlistato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topiramato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bupropiono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topiramato</w:t>
      </w:r>
      <w:proofErr w:type="spellEnd"/>
      <w:r w:rsidR="00DF5A0A" w:rsidRPr="00D85B8C">
        <w:rPr>
          <w:rFonts w:ascii="Helvetica" w:hAnsi="Helvetica" w:cs="Arial"/>
          <w:sz w:val="20"/>
          <w:szCs w:val="24"/>
        </w:rPr>
        <w:t>/</w:t>
      </w:r>
      <w:r w:rsidRPr="00D85B8C">
        <w:rPr>
          <w:rFonts w:ascii="Helvetica" w:hAnsi="Helvetica" w:cs="Arial"/>
          <w:sz w:val="20"/>
          <w:szCs w:val="24"/>
        </w:rPr>
        <w:t xml:space="preserve"> </w:t>
      </w:r>
      <w:proofErr w:type="spellStart"/>
      <w:r w:rsidRPr="00D85B8C">
        <w:rPr>
          <w:rFonts w:ascii="Helvetica" w:hAnsi="Helvetica" w:cs="Arial"/>
          <w:sz w:val="20"/>
          <w:szCs w:val="24"/>
        </w:rPr>
        <w:t>fentermin</w:t>
      </w:r>
      <w:r w:rsidR="00DF5A0A" w:rsidRPr="00D85B8C">
        <w:rPr>
          <w:rFonts w:ascii="Helvetica" w:hAnsi="Helvetica" w:cs="Arial"/>
          <w:sz w:val="20"/>
          <w:szCs w:val="24"/>
        </w:rPr>
        <w:t>o</w:t>
      </w:r>
      <w:proofErr w:type="spellEnd"/>
      <w:r w:rsidRPr="00D85B8C">
        <w:rPr>
          <w:rFonts w:ascii="Helvetica" w:hAnsi="Helvetica" w:cs="Arial"/>
          <w:sz w:val="20"/>
          <w:szCs w:val="24"/>
        </w:rPr>
        <w:t>,</w:t>
      </w:r>
      <w:r w:rsidR="008A2310" w:rsidRPr="00D85B8C">
        <w:rPr>
          <w:rFonts w:ascii="Helvetica" w:hAnsi="Helvetica" w:cs="Arial"/>
          <w:sz w:val="20"/>
          <w:szCs w:val="24"/>
        </w:rPr>
        <w:t xml:space="preserve"> </w:t>
      </w:r>
      <w:proofErr w:type="spellStart"/>
      <w:r w:rsidRPr="00D85B8C">
        <w:rPr>
          <w:rFonts w:ascii="Helvetica" w:hAnsi="Helvetica" w:cs="Arial"/>
          <w:sz w:val="20"/>
          <w:szCs w:val="24"/>
        </w:rPr>
        <w:t>bupropiono</w:t>
      </w:r>
      <w:proofErr w:type="spellEnd"/>
      <w:r w:rsidR="00DF5A0A" w:rsidRPr="00D85B8C">
        <w:rPr>
          <w:rFonts w:ascii="Helvetica" w:hAnsi="Helvetica" w:cs="Arial"/>
          <w:sz w:val="20"/>
          <w:szCs w:val="24"/>
        </w:rPr>
        <w:t>/</w:t>
      </w:r>
      <w:proofErr w:type="spellStart"/>
      <w:r w:rsidRPr="00D85B8C">
        <w:rPr>
          <w:rFonts w:ascii="Helvetica" w:hAnsi="Helvetica" w:cs="Arial"/>
          <w:sz w:val="20"/>
          <w:szCs w:val="24"/>
        </w:rPr>
        <w:t>naltrekson</w:t>
      </w:r>
      <w:r w:rsidR="00DF5A0A" w:rsidRPr="00D85B8C">
        <w:rPr>
          <w:rFonts w:ascii="Helvetica" w:hAnsi="Helvetica" w:cs="Arial"/>
          <w:sz w:val="20"/>
          <w:szCs w:val="24"/>
        </w:rPr>
        <w:t>o</w:t>
      </w:r>
      <w:proofErr w:type="spellEnd"/>
      <w:r w:rsidRPr="00D85B8C">
        <w:rPr>
          <w:rFonts w:ascii="Helvetica" w:hAnsi="Helvetica" w:cs="Arial"/>
          <w:sz w:val="20"/>
          <w:szCs w:val="24"/>
        </w:rPr>
        <w:t xml:space="preserve">, </w:t>
      </w:r>
      <w:proofErr w:type="spellStart"/>
      <w:r w:rsidRPr="00D85B8C">
        <w:rPr>
          <w:rFonts w:ascii="Helvetica" w:hAnsi="Helvetica" w:cs="Arial"/>
          <w:sz w:val="20"/>
          <w:szCs w:val="24"/>
        </w:rPr>
        <w:t>bupropion</w:t>
      </w:r>
      <w:r w:rsidR="00DF5A0A" w:rsidRPr="00D85B8C">
        <w:rPr>
          <w:rFonts w:ascii="Helvetica" w:hAnsi="Helvetica" w:cs="Arial"/>
          <w:sz w:val="20"/>
          <w:szCs w:val="24"/>
        </w:rPr>
        <w:t>o</w:t>
      </w:r>
      <w:proofErr w:type="spellEnd"/>
      <w:r w:rsidR="00DF5A0A" w:rsidRPr="00D85B8C">
        <w:rPr>
          <w:rFonts w:ascii="Helvetica" w:hAnsi="Helvetica" w:cs="Arial"/>
          <w:sz w:val="20"/>
          <w:szCs w:val="24"/>
        </w:rPr>
        <w:t>/</w:t>
      </w:r>
      <w:proofErr w:type="spellStart"/>
      <w:r w:rsidRPr="00D85B8C">
        <w:rPr>
          <w:rFonts w:ascii="Helvetica" w:hAnsi="Helvetica" w:cs="Arial"/>
          <w:sz w:val="20"/>
          <w:szCs w:val="24"/>
        </w:rPr>
        <w:t>zonisamid</w:t>
      </w:r>
      <w:r w:rsidR="00DF5A0A" w:rsidRPr="00D85B8C">
        <w:rPr>
          <w:rFonts w:ascii="Helvetica" w:hAnsi="Helvetica" w:cs="Arial"/>
          <w:sz w:val="20"/>
          <w:szCs w:val="24"/>
        </w:rPr>
        <w:t>o</w:t>
      </w:r>
      <w:proofErr w:type="spellEnd"/>
      <w:r w:rsidRPr="00D85B8C">
        <w:rPr>
          <w:rFonts w:ascii="Helvetica" w:hAnsi="Helvetica" w:cs="Arial"/>
          <w:sz w:val="20"/>
          <w:szCs w:val="24"/>
        </w:rPr>
        <w:t xml:space="preserve">, </w:t>
      </w:r>
    </w:p>
    <w:p w14:paraId="1B563FFA" w14:textId="6A756A42" w:rsidR="00C64CD9" w:rsidRPr="00D85B8C" w:rsidRDefault="008A2310" w:rsidP="00D85B8C">
      <w:pPr>
        <w:spacing w:after="0" w:line="360" w:lineRule="auto"/>
        <w:jc w:val="both"/>
        <w:rPr>
          <w:rFonts w:ascii="Helvetica" w:hAnsi="Helvetica" w:cs="Arial"/>
          <w:sz w:val="20"/>
          <w:szCs w:val="24"/>
        </w:rPr>
      </w:pPr>
      <w:proofErr w:type="spellStart"/>
      <w:r w:rsidRPr="00D85B8C">
        <w:rPr>
          <w:rFonts w:ascii="Helvetica" w:hAnsi="Helvetica" w:cs="Arial"/>
          <w:sz w:val="20"/>
          <w:szCs w:val="24"/>
        </w:rPr>
        <w:lastRenderedPageBreak/>
        <w:t>p</w:t>
      </w:r>
      <w:r w:rsidR="00F31999" w:rsidRPr="00D85B8C">
        <w:rPr>
          <w:rFonts w:ascii="Helvetica" w:hAnsi="Helvetica" w:cs="Arial"/>
          <w:sz w:val="20"/>
          <w:szCs w:val="24"/>
        </w:rPr>
        <w:t>ramlintido</w:t>
      </w:r>
      <w:proofErr w:type="spellEnd"/>
      <w:r w:rsidR="00DF5A0A" w:rsidRPr="00D85B8C">
        <w:rPr>
          <w:rFonts w:ascii="Helvetica" w:hAnsi="Helvetica" w:cs="Arial"/>
          <w:sz w:val="20"/>
          <w:szCs w:val="24"/>
        </w:rPr>
        <w:t>/</w:t>
      </w:r>
      <w:proofErr w:type="spellStart"/>
      <w:r w:rsidR="00F31999" w:rsidRPr="00D85B8C">
        <w:rPr>
          <w:rFonts w:ascii="Helvetica" w:hAnsi="Helvetica" w:cs="Arial"/>
          <w:sz w:val="20"/>
          <w:szCs w:val="24"/>
        </w:rPr>
        <w:t>metreleptin</w:t>
      </w:r>
      <w:r w:rsidR="00DF5A0A" w:rsidRPr="00D85B8C">
        <w:rPr>
          <w:rFonts w:ascii="Helvetica" w:hAnsi="Helvetica" w:cs="Arial"/>
          <w:sz w:val="20"/>
          <w:szCs w:val="24"/>
        </w:rPr>
        <w:t>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lor</w:t>
      </w:r>
      <w:r w:rsidRPr="00D85B8C">
        <w:rPr>
          <w:rFonts w:ascii="Helvetica" w:hAnsi="Helvetica" w:cs="Arial"/>
          <w:sz w:val="20"/>
          <w:szCs w:val="24"/>
        </w:rPr>
        <w:t>k</w:t>
      </w:r>
      <w:r w:rsidR="00F31999" w:rsidRPr="00D85B8C">
        <w:rPr>
          <w:rFonts w:ascii="Helvetica" w:hAnsi="Helvetica" w:cs="Arial"/>
          <w:sz w:val="20"/>
          <w:szCs w:val="24"/>
        </w:rPr>
        <w:t>aserino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cetilistato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tesofenzino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velneperito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prieštraukulinio</w:t>
      </w:r>
      <w:proofErr w:type="spellEnd"/>
      <w:r w:rsidR="00F31999" w:rsidRPr="00D85B8C">
        <w:rPr>
          <w:rFonts w:ascii="Helvetica" w:hAnsi="Helvetica" w:cs="Arial"/>
          <w:sz w:val="20"/>
          <w:szCs w:val="24"/>
        </w:rPr>
        <w:t xml:space="preserve"> agento, </w:t>
      </w:r>
      <w:proofErr w:type="spellStart"/>
      <w:r w:rsidR="00F31999" w:rsidRPr="00D85B8C">
        <w:rPr>
          <w:rFonts w:ascii="Helvetica" w:hAnsi="Helvetica" w:cs="Arial"/>
          <w:sz w:val="20"/>
          <w:szCs w:val="24"/>
        </w:rPr>
        <w:t>digoksino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kumadino</w:t>
      </w:r>
      <w:proofErr w:type="spellEnd"/>
      <w:r w:rsidR="00F31999" w:rsidRPr="00D85B8C">
        <w:rPr>
          <w:rFonts w:ascii="Helvetica" w:hAnsi="Helvetica" w:cs="Arial"/>
          <w:sz w:val="20"/>
          <w:szCs w:val="24"/>
        </w:rPr>
        <w:t xml:space="preserve">, vitamino D, </w:t>
      </w:r>
      <w:proofErr w:type="spellStart"/>
      <w:r w:rsidR="00F31999" w:rsidRPr="00D85B8C">
        <w:rPr>
          <w:rFonts w:ascii="Helvetica" w:hAnsi="Helvetica" w:cs="Arial"/>
          <w:sz w:val="20"/>
          <w:szCs w:val="24"/>
        </w:rPr>
        <w:t>tiroksino</w:t>
      </w:r>
      <w:proofErr w:type="spellEnd"/>
      <w:r w:rsidR="00F31999" w:rsidRPr="00D85B8C">
        <w:rPr>
          <w:rFonts w:ascii="Helvetica" w:hAnsi="Helvetica" w:cs="Arial"/>
          <w:sz w:val="20"/>
          <w:szCs w:val="24"/>
        </w:rPr>
        <w:t xml:space="preserve">, skydliaukės papildų, vitaminų papildų, kalcio papildų, </w:t>
      </w:r>
      <w:proofErr w:type="spellStart"/>
      <w:r w:rsidR="00F31999" w:rsidRPr="00D85B8C">
        <w:rPr>
          <w:rFonts w:ascii="Helvetica" w:hAnsi="Helvetica" w:cs="Arial"/>
          <w:sz w:val="20"/>
          <w:szCs w:val="24"/>
        </w:rPr>
        <w:t>karnitino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kofermento</w:t>
      </w:r>
      <w:proofErr w:type="spellEnd"/>
      <w:r w:rsidR="00F31999" w:rsidRPr="00D85B8C">
        <w:rPr>
          <w:rFonts w:ascii="Helvetica" w:hAnsi="Helvetica" w:cs="Arial"/>
          <w:sz w:val="20"/>
          <w:szCs w:val="24"/>
        </w:rPr>
        <w:t xml:space="preserve"> Q10, vidurius laisvinančio vaisto, vaisto nuo alergijos, </w:t>
      </w:r>
      <w:proofErr w:type="spellStart"/>
      <w:r w:rsidR="00F31999" w:rsidRPr="00D85B8C">
        <w:rPr>
          <w:rFonts w:ascii="Helvetica" w:hAnsi="Helvetica" w:cs="Arial"/>
          <w:sz w:val="20"/>
          <w:szCs w:val="24"/>
        </w:rPr>
        <w:t>gabapentino</w:t>
      </w:r>
      <w:proofErr w:type="spellEnd"/>
      <w:r w:rsidR="00F31999" w:rsidRPr="00D85B8C">
        <w:rPr>
          <w:rFonts w:ascii="Helvetica" w:hAnsi="Helvetica" w:cs="Arial"/>
          <w:sz w:val="20"/>
          <w:szCs w:val="24"/>
        </w:rPr>
        <w:t>, narkotin</w:t>
      </w:r>
      <w:r w:rsidRPr="00D85B8C">
        <w:rPr>
          <w:rFonts w:ascii="Helvetica" w:hAnsi="Helvetica" w:cs="Arial"/>
          <w:sz w:val="20"/>
          <w:szCs w:val="24"/>
        </w:rPr>
        <w:t>ės medžiagos</w:t>
      </w:r>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ketamino</w:t>
      </w:r>
      <w:proofErr w:type="spellEnd"/>
      <w:r w:rsidR="00F31999" w:rsidRPr="00D85B8C">
        <w:rPr>
          <w:rFonts w:ascii="Helvetica" w:hAnsi="Helvetica" w:cs="Arial"/>
          <w:sz w:val="20"/>
          <w:szCs w:val="24"/>
        </w:rPr>
        <w:t xml:space="preserve">, </w:t>
      </w:r>
      <w:proofErr w:type="spellStart"/>
      <w:r w:rsidR="00F31999" w:rsidRPr="00D85B8C">
        <w:rPr>
          <w:rFonts w:ascii="Helvetica" w:hAnsi="Helvetica" w:cs="Arial"/>
          <w:sz w:val="20"/>
          <w:szCs w:val="24"/>
        </w:rPr>
        <w:t>lidokaino</w:t>
      </w:r>
      <w:proofErr w:type="spellEnd"/>
      <w:r w:rsidR="00F31999" w:rsidRPr="00D85B8C">
        <w:rPr>
          <w:rFonts w:ascii="Helvetica" w:hAnsi="Helvetica" w:cs="Arial"/>
          <w:sz w:val="20"/>
          <w:szCs w:val="24"/>
        </w:rPr>
        <w:t xml:space="preserve"> ir </w:t>
      </w:r>
      <w:proofErr w:type="spellStart"/>
      <w:r w:rsidR="00F31999" w:rsidRPr="00D85B8C">
        <w:rPr>
          <w:rFonts w:ascii="Helvetica" w:hAnsi="Helvetica" w:cs="Arial"/>
          <w:sz w:val="20"/>
          <w:szCs w:val="24"/>
        </w:rPr>
        <w:t>venlafaksino</w:t>
      </w:r>
      <w:proofErr w:type="spellEnd"/>
      <w:r w:rsidR="00F31999" w:rsidRPr="00D85B8C">
        <w:rPr>
          <w:rFonts w:ascii="Helvetica" w:hAnsi="Helvetica" w:cs="Arial"/>
          <w:sz w:val="20"/>
          <w:szCs w:val="24"/>
        </w:rPr>
        <w:t xml:space="preserve"> hidrochlorido.</w:t>
      </w:r>
    </w:p>
    <w:sectPr w:rsidR="00C64CD9" w:rsidRPr="00D85B8C" w:rsidSect="00D85B8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B661" w14:textId="77777777" w:rsidR="00FD3247" w:rsidRDefault="00FD3247" w:rsidP="003B1FA1">
      <w:pPr>
        <w:spacing w:after="0" w:line="240" w:lineRule="auto"/>
      </w:pPr>
      <w:r>
        <w:separator/>
      </w:r>
    </w:p>
  </w:endnote>
  <w:endnote w:type="continuationSeparator" w:id="0">
    <w:p w14:paraId="6ED153B3" w14:textId="77777777" w:rsidR="00FD3247" w:rsidRDefault="00FD3247" w:rsidP="003B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B4D7" w14:textId="77777777" w:rsidR="00FD3247" w:rsidRDefault="00FD3247" w:rsidP="003B1FA1">
      <w:pPr>
        <w:spacing w:after="0" w:line="240" w:lineRule="auto"/>
      </w:pPr>
      <w:r>
        <w:separator/>
      </w:r>
    </w:p>
  </w:footnote>
  <w:footnote w:type="continuationSeparator" w:id="0">
    <w:p w14:paraId="2FBCD5B3" w14:textId="77777777" w:rsidR="00FD3247" w:rsidRDefault="00FD3247" w:rsidP="003B1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CE"/>
    <w:rsid w:val="000D04D1"/>
    <w:rsid w:val="001A6E79"/>
    <w:rsid w:val="003B1FA1"/>
    <w:rsid w:val="003C76E7"/>
    <w:rsid w:val="0063563B"/>
    <w:rsid w:val="00881C15"/>
    <w:rsid w:val="008A2310"/>
    <w:rsid w:val="00A3066D"/>
    <w:rsid w:val="00B81DFA"/>
    <w:rsid w:val="00BF4719"/>
    <w:rsid w:val="00C328AE"/>
    <w:rsid w:val="00C551CE"/>
    <w:rsid w:val="00C64CD9"/>
    <w:rsid w:val="00D272AF"/>
    <w:rsid w:val="00D85B8C"/>
    <w:rsid w:val="00DF5A0A"/>
    <w:rsid w:val="00F31999"/>
    <w:rsid w:val="00F841BB"/>
    <w:rsid w:val="00FD3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2834"/>
  <w15:chartTrackingRefBased/>
  <w15:docId w15:val="{47CBF60D-5CE5-42AB-B1B8-B16C9862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F841BB"/>
  </w:style>
  <w:style w:type="paragraph" w:styleId="Sraopastraipa">
    <w:name w:val="List Paragraph"/>
    <w:basedOn w:val="prastasis"/>
    <w:uiPriority w:val="34"/>
    <w:qFormat/>
    <w:rsid w:val="00F841BB"/>
    <w:pPr>
      <w:ind w:left="720"/>
      <w:contextualSpacing/>
    </w:pPr>
  </w:style>
  <w:style w:type="paragraph" w:styleId="prastasiniatinklio">
    <w:name w:val="Normal (Web)"/>
    <w:basedOn w:val="prastasis"/>
    <w:uiPriority w:val="99"/>
    <w:semiHidden/>
    <w:unhideWhenUsed/>
    <w:rsid w:val="00F3199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F31999"/>
    <w:rPr>
      <w:b/>
      <w:bCs/>
    </w:rPr>
  </w:style>
  <w:style w:type="paragraph" w:styleId="Antrats">
    <w:name w:val="header"/>
    <w:basedOn w:val="prastasis"/>
    <w:link w:val="AntratsDiagrama"/>
    <w:uiPriority w:val="99"/>
    <w:unhideWhenUsed/>
    <w:rsid w:val="003B1FA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B1FA1"/>
  </w:style>
  <w:style w:type="paragraph" w:styleId="Porat">
    <w:name w:val="footer"/>
    <w:basedOn w:val="prastasis"/>
    <w:link w:val="PoratDiagrama"/>
    <w:uiPriority w:val="99"/>
    <w:unhideWhenUsed/>
    <w:rsid w:val="003B1FA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B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2791">
      <w:bodyDiv w:val="1"/>
      <w:marLeft w:val="0"/>
      <w:marRight w:val="0"/>
      <w:marTop w:val="0"/>
      <w:marBottom w:val="0"/>
      <w:divBdr>
        <w:top w:val="none" w:sz="0" w:space="0" w:color="auto"/>
        <w:left w:val="none" w:sz="0" w:space="0" w:color="auto"/>
        <w:bottom w:val="none" w:sz="0" w:space="0" w:color="auto"/>
        <w:right w:val="none" w:sz="0" w:space="0" w:color="auto"/>
      </w:divBdr>
    </w:div>
    <w:div w:id="1721592060">
      <w:bodyDiv w:val="1"/>
      <w:marLeft w:val="0"/>
      <w:marRight w:val="0"/>
      <w:marTop w:val="0"/>
      <w:marBottom w:val="0"/>
      <w:divBdr>
        <w:top w:val="none" w:sz="0" w:space="0" w:color="auto"/>
        <w:left w:val="none" w:sz="0" w:space="0" w:color="auto"/>
        <w:bottom w:val="none" w:sz="0" w:space="0" w:color="auto"/>
        <w:right w:val="none" w:sz="0" w:space="0" w:color="auto"/>
      </w:divBdr>
    </w:div>
    <w:div w:id="1852986207">
      <w:bodyDiv w:val="1"/>
      <w:marLeft w:val="0"/>
      <w:marRight w:val="0"/>
      <w:marTop w:val="0"/>
      <w:marBottom w:val="0"/>
      <w:divBdr>
        <w:top w:val="none" w:sz="0" w:space="0" w:color="auto"/>
        <w:left w:val="none" w:sz="0" w:space="0" w:color="auto"/>
        <w:bottom w:val="none" w:sz="0" w:space="0" w:color="auto"/>
        <w:right w:val="none" w:sz="0" w:space="0" w:color="auto"/>
      </w:divBdr>
      <w:divsChild>
        <w:div w:id="110318290">
          <w:marLeft w:val="0"/>
          <w:marRight w:val="0"/>
          <w:marTop w:val="0"/>
          <w:marBottom w:val="0"/>
          <w:divBdr>
            <w:top w:val="none" w:sz="0" w:space="0" w:color="auto"/>
            <w:left w:val="none" w:sz="0" w:space="0" w:color="auto"/>
            <w:bottom w:val="none" w:sz="0" w:space="0" w:color="auto"/>
            <w:right w:val="none" w:sz="0" w:space="0" w:color="auto"/>
          </w:divBdr>
        </w:div>
        <w:div w:id="1665931229">
          <w:marLeft w:val="0"/>
          <w:marRight w:val="0"/>
          <w:marTop w:val="0"/>
          <w:marBottom w:val="0"/>
          <w:divBdr>
            <w:top w:val="none" w:sz="0" w:space="0" w:color="auto"/>
            <w:left w:val="none" w:sz="0" w:space="0" w:color="auto"/>
            <w:bottom w:val="none" w:sz="0" w:space="0" w:color="auto"/>
            <w:right w:val="none" w:sz="0" w:space="0" w:color="auto"/>
          </w:divBdr>
        </w:div>
        <w:div w:id="377321712">
          <w:marLeft w:val="0"/>
          <w:marRight w:val="0"/>
          <w:marTop w:val="0"/>
          <w:marBottom w:val="0"/>
          <w:divBdr>
            <w:top w:val="none" w:sz="0" w:space="0" w:color="auto"/>
            <w:left w:val="none" w:sz="0" w:space="0" w:color="auto"/>
            <w:bottom w:val="none" w:sz="0" w:space="0" w:color="auto"/>
            <w:right w:val="none" w:sz="0" w:space="0" w:color="auto"/>
          </w:divBdr>
        </w:div>
        <w:div w:id="1238438528">
          <w:marLeft w:val="0"/>
          <w:marRight w:val="0"/>
          <w:marTop w:val="0"/>
          <w:marBottom w:val="0"/>
          <w:divBdr>
            <w:top w:val="none" w:sz="0" w:space="0" w:color="auto"/>
            <w:left w:val="none" w:sz="0" w:space="0" w:color="auto"/>
            <w:bottom w:val="none" w:sz="0" w:space="0" w:color="auto"/>
            <w:right w:val="none" w:sz="0" w:space="0" w:color="auto"/>
          </w:divBdr>
        </w:div>
        <w:div w:id="1291740389">
          <w:marLeft w:val="0"/>
          <w:marRight w:val="0"/>
          <w:marTop w:val="0"/>
          <w:marBottom w:val="0"/>
          <w:divBdr>
            <w:top w:val="none" w:sz="0" w:space="0" w:color="auto"/>
            <w:left w:val="none" w:sz="0" w:space="0" w:color="auto"/>
            <w:bottom w:val="none" w:sz="0" w:space="0" w:color="auto"/>
            <w:right w:val="none" w:sz="0" w:space="0" w:color="auto"/>
          </w:divBdr>
        </w:div>
        <w:div w:id="130528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2</Pages>
  <Words>442</Words>
  <Characters>2955</Characters>
  <Application>Microsoft Office Word</Application>
  <DocSecurity>0</DocSecurity>
  <Lines>50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7</cp:revision>
  <dcterms:created xsi:type="dcterms:W3CDTF">2025-07-15T18:38:00Z</dcterms:created>
  <dcterms:modified xsi:type="dcterms:W3CDTF">2025-08-12T06:47:00Z</dcterms:modified>
</cp:coreProperties>
</file>