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B96A" w14:textId="097B3AC2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1.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>Farmacinė kompozicija, apimanti:</w:t>
      </w:r>
    </w:p>
    <w:p w14:paraId="06630FEC" w14:textId="5C8DB010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a)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rAAV2 variantą, apimantį LGETTRP aminorūgščių seką, įterptą tarp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kapsidės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 baltymo VP1 587 ir 588 pozicijų, ir nukleorūgšties seką, koduojančią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polipeptidą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, kurio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homologija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 su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afliberceptu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 yra ne mažesnė kaip 95 %, veikiant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citomegaloviruso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 (CMV)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promotoriaus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 transkripcijos kontrolei, ir</w:t>
      </w:r>
    </w:p>
    <w:p w14:paraId="72A73107" w14:textId="4C77A5F7" w:rsidR="00C477B7" w:rsidRPr="005F3220" w:rsidRDefault="00E61F6D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b)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>farmaci</w:t>
      </w:r>
      <w:r w:rsidR="006E53C0" w:rsidRPr="005F3220">
        <w:rPr>
          <w:rStyle w:val="PagrindinistekstasDiagrama"/>
          <w:rFonts w:ascii="Helvetica" w:hAnsi="Helvetica" w:cs="Arial"/>
          <w:sz w:val="20"/>
        </w:rPr>
        <w:t>niu požiūriu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 priimtiną pagalbinę medžiagą;</w:t>
      </w:r>
    </w:p>
    <w:p w14:paraId="74528424" w14:textId="285226CC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  <w:r w:rsidRPr="005F3220">
        <w:rPr>
          <w:rStyle w:val="PagrindinistekstasDiagrama"/>
          <w:rFonts w:ascii="Helvetica" w:hAnsi="Helvetica" w:cs="Arial"/>
          <w:sz w:val="20"/>
        </w:rPr>
        <w:t>skirta naudoti akių būklės ar ligos gydymo būde, apimančiame vienetinės farmacinės kompozicijos dozės suleidimą injekcija į primatų subjekto, kuriam to reikia, ak</w:t>
      </w:r>
      <w:r w:rsidR="006E53C0" w:rsidRPr="005F3220">
        <w:rPr>
          <w:rStyle w:val="PagrindinistekstasDiagrama"/>
          <w:rFonts w:ascii="Helvetica" w:hAnsi="Helvetica" w:cs="Arial"/>
          <w:sz w:val="20"/>
        </w:rPr>
        <w:t>ies stiklakūnį</w:t>
      </w:r>
      <w:r w:rsidRPr="005F3220">
        <w:rPr>
          <w:rStyle w:val="PagrindinistekstasDiagrama"/>
          <w:rFonts w:ascii="Helvetica" w:hAnsi="Helvetica" w:cs="Arial"/>
          <w:sz w:val="20"/>
        </w:rPr>
        <w:t>.</w:t>
      </w:r>
    </w:p>
    <w:p w14:paraId="222F6882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1CA44D12" w14:textId="3B46B235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2.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Kompozicija, skirta naudoti pagal 1 punktą, kur akių būklė ar liga yra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neovaskulinė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 (šlapioji) su amžiumi susijusi geltonosios dėmės degeneracija</w:t>
      </w:r>
      <w:r w:rsidR="00803A7E" w:rsidRPr="005F3220">
        <w:rPr>
          <w:rStyle w:val="PagrindinistekstasDiagrama"/>
          <w:rFonts w:ascii="Helvetica" w:hAnsi="Helvetica" w:cs="Arial"/>
          <w:sz w:val="20"/>
        </w:rPr>
        <w:t> 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(AMD), geltonosios dėmės edema po tinklainės venų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okliuzijos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, diabetinė geltonosios dėmės edema (DME) arba diabetinė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retinopatija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>, susijusi su DME.</w:t>
      </w:r>
    </w:p>
    <w:p w14:paraId="2D3CB716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662D65E8" w14:textId="0FC9011F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3.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Kompozicija, skirta naudoti pagal 1 punktą, kur akių būklė ar liga yra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gyslainės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neovaskuliarizacija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 arba šlapioji AMD.</w:t>
      </w:r>
    </w:p>
    <w:p w14:paraId="36A2394D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76AB6239" w14:textId="0D48A302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4.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Kompozicija, skirta naudoti pagal bet kurį iš ankstesnių punktų, kur nukleorūgšties koduojamas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polipeptidas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 apima seką, kurios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homologija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 su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afliberceptu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 xml:space="preserve"> yra 100 %.</w:t>
      </w:r>
    </w:p>
    <w:p w14:paraId="4172DDA4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27E428F5" w14:textId="087D13F2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5.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>Kompozicija, skirta naudoti pagal bet kurį iš ankstesnių punktų, kur vienetinė dozė yra: a) nuo 1</w:t>
      </w:r>
      <w:r w:rsidR="00E84CA9" w:rsidRPr="005F3220">
        <w:rPr>
          <w:rStyle w:val="PagrindinistekstasDiagrama"/>
          <w:rFonts w:ascii="Helvetica" w:hAnsi="Helvetica" w:cs="Arial"/>
          <w:sz w:val="20"/>
        </w:rPr>
        <w:t>E12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 iki 1</w:t>
      </w:r>
      <w:r w:rsidR="00E84CA9" w:rsidRPr="005F3220">
        <w:rPr>
          <w:rStyle w:val="PagrindinistekstasDiagrama"/>
          <w:rFonts w:ascii="Helvetica" w:hAnsi="Helvetica" w:cs="Arial"/>
          <w:sz w:val="20"/>
        </w:rPr>
        <w:t xml:space="preserve">E13 </w:t>
      </w:r>
      <w:r w:rsidRPr="005F3220">
        <w:rPr>
          <w:rStyle w:val="PagrindinistekstasDiagrama"/>
          <w:rFonts w:ascii="Helvetica" w:hAnsi="Helvetica" w:cs="Arial"/>
          <w:sz w:val="20"/>
        </w:rPr>
        <w:t>vektoriaus genomų; b) nuo 2</w:t>
      </w:r>
      <w:r w:rsidR="00E84CA9" w:rsidRPr="005F3220">
        <w:rPr>
          <w:rStyle w:val="PagrindinistekstasDiagrama"/>
          <w:rFonts w:ascii="Helvetica" w:hAnsi="Helvetica" w:cs="Arial"/>
          <w:sz w:val="20"/>
        </w:rPr>
        <w:t>E12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 iki 6</w:t>
      </w:r>
      <w:r w:rsidR="00E84CA9" w:rsidRPr="005F3220">
        <w:rPr>
          <w:rStyle w:val="PagrindinistekstasDiagrama"/>
          <w:rFonts w:ascii="Helvetica" w:hAnsi="Helvetica" w:cs="Arial"/>
          <w:sz w:val="20"/>
        </w:rPr>
        <w:t>E12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 vektoriaus genomų; c) nuo 1</w:t>
      </w:r>
      <w:r w:rsidR="00E84CA9" w:rsidRPr="005F3220">
        <w:rPr>
          <w:rStyle w:val="PagrindinistekstasDiagrama"/>
          <w:rFonts w:ascii="Helvetica" w:hAnsi="Helvetica" w:cs="Arial"/>
          <w:sz w:val="20"/>
        </w:rPr>
        <w:t>E9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 iki 3</w:t>
      </w:r>
      <w:r w:rsidR="00E84CA9" w:rsidRPr="005F3220">
        <w:rPr>
          <w:rStyle w:val="PagrindinistekstasDiagrama"/>
          <w:rFonts w:ascii="Helvetica" w:hAnsi="Helvetica" w:cs="Arial"/>
          <w:sz w:val="20"/>
        </w:rPr>
        <w:t>E13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 vektoriaus genomų; d)</w:t>
      </w:r>
      <w:r w:rsidR="00803A7E" w:rsidRPr="005F3220">
        <w:rPr>
          <w:rStyle w:val="PagrindinistekstasDiagrama"/>
          <w:rFonts w:ascii="Helvetica" w:hAnsi="Helvetica" w:cs="Arial"/>
          <w:sz w:val="20"/>
        </w:rPr>
        <w:t> </w:t>
      </w:r>
      <w:r w:rsidRPr="005F3220">
        <w:rPr>
          <w:rStyle w:val="PagrindinistekstasDiagrama"/>
          <w:rFonts w:ascii="Helvetica" w:hAnsi="Helvetica" w:cs="Arial"/>
          <w:sz w:val="20"/>
        </w:rPr>
        <w:t>nuo 1</w:t>
      </w:r>
      <w:r w:rsidR="00E84CA9" w:rsidRPr="005F3220">
        <w:rPr>
          <w:rStyle w:val="PagrindinistekstasDiagrama"/>
          <w:rFonts w:ascii="Helvetica" w:hAnsi="Helvetica" w:cs="Arial"/>
          <w:sz w:val="20"/>
        </w:rPr>
        <w:t>E10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 iki 3</w:t>
      </w:r>
      <w:r w:rsidR="00E84CA9" w:rsidRPr="005F3220">
        <w:rPr>
          <w:rStyle w:val="PagrindinistekstasDiagrama"/>
          <w:rFonts w:ascii="Helvetica" w:hAnsi="Helvetica" w:cs="Arial"/>
          <w:sz w:val="20"/>
        </w:rPr>
        <w:t>E12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 vektoriaus genomų; arba e) nuo 1</w:t>
      </w:r>
      <w:r w:rsidR="00E84CA9" w:rsidRPr="005F3220">
        <w:rPr>
          <w:rStyle w:val="PagrindinistekstasDiagrama"/>
          <w:rFonts w:ascii="Helvetica" w:hAnsi="Helvetica" w:cs="Arial"/>
          <w:sz w:val="20"/>
        </w:rPr>
        <w:t>E8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 iki 3</w:t>
      </w:r>
      <w:r w:rsidR="00E84CA9" w:rsidRPr="005F3220">
        <w:rPr>
          <w:rStyle w:val="PagrindinistekstasDiagrama"/>
          <w:rFonts w:ascii="Helvetica" w:hAnsi="Helvetica" w:cs="Arial"/>
          <w:sz w:val="20"/>
        </w:rPr>
        <w:t>E14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 vektoriaus genomų.</w:t>
      </w:r>
    </w:p>
    <w:p w14:paraId="1910DA7C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77040968" w14:textId="6EADB54A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6.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>Kompozicija, skirta naudoti pagal bet kurį iš ankstesnių punktų, kur vienetinė dozė yra: a) tūryje, ne didesniame kaip 100</w:t>
      </w:r>
      <w:r w:rsidR="006F3791" w:rsidRPr="005F3220">
        <w:rPr>
          <w:rStyle w:val="PagrindinistekstasDiagrama"/>
          <w:rFonts w:ascii="Helvetica" w:hAnsi="Helvetica" w:cs="Arial"/>
          <w:sz w:val="20"/>
        </w:rPr>
        <w:t> </w:t>
      </w:r>
      <w:r w:rsidRPr="005F3220">
        <w:rPr>
          <w:rStyle w:val="PagrindinistekstasDiagrama"/>
          <w:rFonts w:ascii="Helvetica" w:hAnsi="Helvetica" w:cs="Arial"/>
          <w:sz w:val="20"/>
        </w:rPr>
        <w:t>µl; arba b) tūryje, ne didesniame kaip 50</w:t>
      </w:r>
      <w:r w:rsidR="006F3791" w:rsidRPr="005F3220">
        <w:rPr>
          <w:rStyle w:val="PagrindinistekstasDiagrama"/>
          <w:rFonts w:ascii="Helvetica" w:hAnsi="Helvetica" w:cs="Arial"/>
          <w:sz w:val="20"/>
        </w:rPr>
        <w:t> </w:t>
      </w:r>
      <w:r w:rsidRPr="005F3220">
        <w:rPr>
          <w:rStyle w:val="PagrindinistekstasDiagrama"/>
          <w:rFonts w:ascii="Helvetica" w:hAnsi="Helvetica" w:cs="Arial"/>
          <w:sz w:val="20"/>
        </w:rPr>
        <w:t>µl.</w:t>
      </w:r>
    </w:p>
    <w:p w14:paraId="62D09084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52E250FD" w14:textId="369A919A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7.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>Kompozicija, skirta naudoti pagal bet kurį iš ankstesnių punktų, kur subjektas yra žmogus.</w:t>
      </w:r>
    </w:p>
    <w:p w14:paraId="532CCEAB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624110E6" w14:textId="76451468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8.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Kompozicija, skirta naudoti pagal bet kurį iš ankstesnių punktų, kur subjektas reaguoja į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afliberceptą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>.</w:t>
      </w:r>
    </w:p>
    <w:p w14:paraId="44764A3E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75322822" w14:textId="79015DBE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9.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 xml:space="preserve">Kompozicija, skirta naudoti pagal bet kurį iš ankstesnių punktų, kur subjektui anksčiau buvo taikytas gydymas </w:t>
      </w:r>
      <w:proofErr w:type="spellStart"/>
      <w:r w:rsidRPr="005F3220">
        <w:rPr>
          <w:rStyle w:val="PagrindinistekstasDiagrama"/>
          <w:rFonts w:ascii="Helvetica" w:hAnsi="Helvetica" w:cs="Arial"/>
          <w:sz w:val="20"/>
        </w:rPr>
        <w:t>afliberceptu</w:t>
      </w:r>
      <w:proofErr w:type="spellEnd"/>
      <w:r w:rsidRPr="005F3220">
        <w:rPr>
          <w:rStyle w:val="PagrindinistekstasDiagrama"/>
          <w:rFonts w:ascii="Helvetica" w:hAnsi="Helvetica" w:cs="Arial"/>
          <w:sz w:val="20"/>
        </w:rPr>
        <w:t>.</w:t>
      </w:r>
    </w:p>
    <w:p w14:paraId="084D6075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pacing w:val="2"/>
          <w:sz w:val="20"/>
        </w:rPr>
      </w:pPr>
    </w:p>
    <w:p w14:paraId="203AA5BA" w14:textId="090B0F0F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pacing w:val="2"/>
          <w:sz w:val="20"/>
        </w:rPr>
      </w:pPr>
      <w:r w:rsidRPr="005F3220">
        <w:rPr>
          <w:rFonts w:ascii="Helvetica" w:hAnsi="Helvetica" w:cs="Arial"/>
          <w:spacing w:val="2"/>
          <w:sz w:val="20"/>
        </w:rPr>
        <w:t>10.</w:t>
      </w:r>
      <w:r w:rsidR="00C477B7" w:rsidRPr="005F3220">
        <w:rPr>
          <w:rFonts w:ascii="Helvetica" w:hAnsi="Helvetica" w:cs="Arial"/>
          <w:spacing w:val="2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pacing w:val="2"/>
          <w:sz w:val="20"/>
        </w:rPr>
        <w:t>Kompozicija, skirta naudoti pagal bet kurį iš ankstesnių punktų, kur</w:t>
      </w:r>
      <w:r w:rsidR="006F3791" w:rsidRPr="005F3220">
        <w:rPr>
          <w:rStyle w:val="PagrindinistekstasDiagrama"/>
          <w:rFonts w:ascii="Helvetica" w:hAnsi="Helvetica" w:cs="Arial"/>
          <w:spacing w:val="2"/>
          <w:sz w:val="20"/>
        </w:rPr>
        <w:t> </w:t>
      </w:r>
      <w:r w:rsidRPr="005F3220">
        <w:rPr>
          <w:rStyle w:val="PagrindinistekstasDiagrama"/>
          <w:rFonts w:ascii="Helvetica" w:hAnsi="Helvetica" w:cs="Arial"/>
          <w:spacing w:val="2"/>
          <w:sz w:val="20"/>
        </w:rPr>
        <w:t>suleidimas injekcija į stiklakūnį atliekamas ne dažniau kaip kartą per mažiausiai 2 metus.</w:t>
      </w:r>
    </w:p>
    <w:p w14:paraId="39985AF0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04F49057" w14:textId="1B7A3036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11.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>Kompozicija, skirta naudoti pagal 10 punktą, kur suleidimas injekcija į stiklakūnį atliekamas ne dažniau kaip kartą per mažiausiai 5 metus.</w:t>
      </w:r>
    </w:p>
    <w:p w14:paraId="13C97641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3551FCD3" w14:textId="24E5826E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12.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>Kompozicija, skirta naudoti pagal bet kurį iš 1–9 punktų, kur suleidimas injekcija į stiklakūnį yra vienkartinis.</w:t>
      </w:r>
    </w:p>
    <w:p w14:paraId="1568C11E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255CEC5E" w14:textId="32CA493F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13.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>Kompozicija, skirta naudoti pagal bet kurį iš ankstesnių punktų, kur farmacinė kompozicija yra suspensija.</w:t>
      </w:r>
    </w:p>
    <w:p w14:paraId="249F4F3C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78E49116" w14:textId="6EC55D75" w:rsidR="00E61F6D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lastRenderedPageBreak/>
        <w:t>14.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>Kompozicija, skirta naudoti pagal 13 punktą, papildomai apimanti suspensijos suplakimą, siekiant užtikrinti tolygų suspensijos pasiskirstymą prieš suleidimo etapą.</w:t>
      </w:r>
    </w:p>
    <w:p w14:paraId="7E3B6E55" w14:textId="77777777" w:rsidR="00C477B7" w:rsidRPr="005F3220" w:rsidRDefault="00C477B7" w:rsidP="005F3220">
      <w:pPr>
        <w:pStyle w:val="Pagrindinistekstas"/>
        <w:widowControl/>
        <w:tabs>
          <w:tab w:val="left" w:pos="850"/>
        </w:tabs>
        <w:spacing w:after="0"/>
        <w:jc w:val="both"/>
        <w:rPr>
          <w:rFonts w:ascii="Helvetica" w:hAnsi="Helvetica" w:cs="Arial"/>
          <w:sz w:val="20"/>
        </w:rPr>
      </w:pPr>
    </w:p>
    <w:p w14:paraId="325DE0D9" w14:textId="0D3D76A4" w:rsidR="006F3791" w:rsidRPr="005F3220" w:rsidRDefault="00E61F6D" w:rsidP="005F3220">
      <w:pPr>
        <w:pStyle w:val="Pagrindinistekstas"/>
        <w:widowControl/>
        <w:tabs>
          <w:tab w:val="left" w:pos="850"/>
        </w:tabs>
        <w:spacing w:after="0"/>
        <w:ind w:firstLine="567"/>
        <w:jc w:val="both"/>
        <w:rPr>
          <w:rFonts w:ascii="Helvetica" w:hAnsi="Helvetica" w:cs="Arial"/>
          <w:sz w:val="20"/>
        </w:rPr>
      </w:pPr>
      <w:r w:rsidRPr="005F3220">
        <w:rPr>
          <w:rFonts w:ascii="Helvetica" w:hAnsi="Helvetica" w:cs="Arial"/>
          <w:sz w:val="20"/>
        </w:rPr>
        <w:t>15.</w:t>
      </w:r>
      <w:r w:rsidR="00C477B7" w:rsidRPr="005F3220">
        <w:rPr>
          <w:rFonts w:ascii="Helvetica" w:hAnsi="Helvetica" w:cs="Arial"/>
          <w:sz w:val="20"/>
        </w:rPr>
        <w:t xml:space="preserve"> </w:t>
      </w:r>
      <w:r w:rsidRPr="005F3220">
        <w:rPr>
          <w:rStyle w:val="PagrindinistekstasDiagrama"/>
          <w:rFonts w:ascii="Helvetica" w:hAnsi="Helvetica" w:cs="Arial"/>
          <w:sz w:val="20"/>
        </w:rPr>
        <w:t>Kompozicija, skirta naudoti pagal bet kurį iš ankstesnių punktų, papildomai apimanti farmacinės kompozicijos sušildymą iki kambario temperatūros prieš suleidimo etapą.</w:t>
      </w:r>
    </w:p>
    <w:sectPr w:rsidR="006F3791" w:rsidRPr="005F3220" w:rsidSect="005F322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1"/>
    <wne:keymap wne:mask="1" wne:kcmPrimary="0471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3A89" w14:textId="77777777" w:rsidR="005D1D80" w:rsidRDefault="005D1D80">
      <w:r>
        <w:separator/>
      </w:r>
    </w:p>
  </w:endnote>
  <w:endnote w:type="continuationSeparator" w:id="0">
    <w:p w14:paraId="3C414C2B" w14:textId="77777777" w:rsidR="005D1D80" w:rsidRDefault="005D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 Gulim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80F9" w14:textId="77777777" w:rsidR="005D1D80" w:rsidRDefault="005D1D80"/>
  </w:footnote>
  <w:footnote w:type="continuationSeparator" w:id="0">
    <w:p w14:paraId="2E8A5CF5" w14:textId="77777777" w:rsidR="005D1D80" w:rsidRDefault="005D1D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2BF"/>
    <w:multiLevelType w:val="multilevel"/>
    <w:tmpl w:val="F3BCF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9A53C3"/>
    <w:multiLevelType w:val="multilevel"/>
    <w:tmpl w:val="6534E40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8251008">
    <w:abstractNumId w:val="0"/>
  </w:num>
  <w:num w:numId="2" w16cid:durableId="109956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A"/>
    <w:rsid w:val="00053800"/>
    <w:rsid w:val="000A63D6"/>
    <w:rsid w:val="002D7146"/>
    <w:rsid w:val="00497BFB"/>
    <w:rsid w:val="005676FA"/>
    <w:rsid w:val="005C1D77"/>
    <w:rsid w:val="005D1D80"/>
    <w:rsid w:val="005F3220"/>
    <w:rsid w:val="006242E5"/>
    <w:rsid w:val="006E53C0"/>
    <w:rsid w:val="006F3791"/>
    <w:rsid w:val="00733AAD"/>
    <w:rsid w:val="00737F74"/>
    <w:rsid w:val="007F1185"/>
    <w:rsid w:val="00803A7E"/>
    <w:rsid w:val="00833AF3"/>
    <w:rsid w:val="00846499"/>
    <w:rsid w:val="00963C6D"/>
    <w:rsid w:val="009E7D0E"/>
    <w:rsid w:val="00A45415"/>
    <w:rsid w:val="00A86207"/>
    <w:rsid w:val="00B4120D"/>
    <w:rsid w:val="00B878A0"/>
    <w:rsid w:val="00BD0D46"/>
    <w:rsid w:val="00BD3D64"/>
    <w:rsid w:val="00C42A77"/>
    <w:rsid w:val="00C477B7"/>
    <w:rsid w:val="00C5396E"/>
    <w:rsid w:val="00CE30DC"/>
    <w:rsid w:val="00E047F2"/>
    <w:rsid w:val="00E3264A"/>
    <w:rsid w:val="00E61F6D"/>
    <w:rsid w:val="00E84CA9"/>
    <w:rsid w:val="00EE41D4"/>
    <w:rsid w:val="00E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07C1"/>
  <w15:docId w15:val="{4EF83A36-48F4-4190-A9F0-A083DAB7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Gulim" w:eastAsia="New Gulim" w:hAnsi="New Gulim" w:cs="New Gulim"/>
        <w:sz w:val="24"/>
        <w:szCs w:val="24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F6D"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Pagrindinistekstas">
    <w:name w:val="Body Text"/>
    <w:basedOn w:val="prastasis"/>
    <w:link w:val="PagrindinistekstasDiagrama"/>
    <w:qFormat/>
    <w:pPr>
      <w:spacing w:after="400" w:line="360" w:lineRule="auto"/>
    </w:pPr>
    <w:rPr>
      <w:rFonts w:ascii="Times New Roman" w:eastAsia="Times New Roman" w:hAnsi="Times New Roman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61F6D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E61F6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F6D"/>
    <w:rPr>
      <w:color w:val="000000"/>
    </w:rPr>
  </w:style>
  <w:style w:type="character" w:styleId="Eilutsnumeris">
    <w:name w:val="line number"/>
    <w:basedOn w:val="Numatytasispastraiposriftas"/>
    <w:uiPriority w:val="99"/>
    <w:semiHidden/>
    <w:unhideWhenUsed/>
    <w:rsid w:val="00E61F6D"/>
    <w:rPr>
      <w:rFonts w:ascii="Times New Roman" w:hAnsi="Times New Roman" w:cs="Times New Roman"/>
      <w:sz w:val="20"/>
    </w:rPr>
  </w:style>
  <w:style w:type="paragraph" w:styleId="Pataisymai">
    <w:name w:val="Revision"/>
    <w:hidden/>
    <w:uiPriority w:val="99"/>
    <w:semiHidden/>
    <w:rsid w:val="00E61F6D"/>
    <w:pPr>
      <w:widowControl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38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380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2438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_x000d_
AcceptTrackChanges__x000d_
█ Global_V8.3.0_x000d_
Convert Bullets and List to text_x000d_
Remove Page Breaks_x000d_
Delete bookmarks_x000d_
Remove hyperlinks_x000d_
Remove field codes_x000d_
Repair subscript and superscript_x000d_
Change Hyphens_x000d_
Delete header and footer_x000d_
Delete Section Breaks_x000d_
Remove line numbering_x000d_
AcceptTrackChanges__x000d_
&lt;&lt; QT Comp V8.3.0_x000d_
_x000d_
Delete double spaces_x000d_
█ ReadyToDeliver_V8.3.0_x000d_
AcceptTrackChanges__x000d_
Delete double spaces_x000d_
Delete Comments_x000d_
Convert Bullets and List to text_x000d_
Remove field codes_x000d_
Delete paragraph numbering_x000d_
Clean highlights_x000d_
Statistics_x000d_
&lt;&lt; QT Comp V8.3.0_x000d_
</dc:description>
  <cp:lastModifiedBy>Jurgita Eidukevičienė</cp:lastModifiedBy>
  <cp:revision>4</cp:revision>
  <dcterms:created xsi:type="dcterms:W3CDTF">2025-10-03T06:06:00Z</dcterms:created>
  <dcterms:modified xsi:type="dcterms:W3CDTF">2025-10-20T12:35:00Z</dcterms:modified>
</cp:coreProperties>
</file>