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3D18" w14:textId="088702FE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Baltymas, apimantis pirmąjį antigeną surišantį vienetą,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 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 su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DLL3, ir antrąjį antigen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vienetą, 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kuris specifiškai rišasi su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CD3, kur minėtas pirmasis antigeną surišantis vienetas, specifiškai 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antis DLL3, yra parinktas iš grupės, su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darytos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i) – iii):</w:t>
      </w:r>
    </w:p>
    <w:p w14:paraId="58539137" w14:textId="602B014C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antigen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</w:t>
      </w:r>
      <w:r w:rsidR="00AD0A88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lengvosios grandinės CDR, apimanči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1 (CDR1), SEQ ID Nr. 2 (CDR2) ir SEQ ID Nr. 3 (CDR3), ir sunkiosios grandinės CDR, apimanči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4 (CDR1), SEQ ID Nr.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5 (CDR2)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SEQ ID Nr. 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 (CDR3)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8F6E079" w14:textId="1FBF8FA1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 antigen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lengvosios grandinės CDR, 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apimančias 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7 (CDR1), SEQ ID Nr. 8 (CDR2) ir SEQ ID Nr. 9 (CDR3), ir sunkiosios grandinės CDR, apimanči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sekas SEQ ID Nr. 10 (CDR1), SEQ ID Nr. 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11 (CDR2),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</w:t>
      </w:r>
      <w:r w:rsidR="002A6F0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12 (CDR3),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520E2E3D" w14:textId="68BD4FD0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 antigen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lengvosios grandinės CDR, apimančias 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13 (CDR1), SEQ ID Nr. 14 (CDR2) ir SEQ ID Nr. 15 (CDR3), ir sunkiosios grandinės CDR, apimančias 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16 (CDR1)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17 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(CDR2) ir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</w:t>
      </w:r>
      <w:r w:rsidR="0003309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18 (CDR3),</w:t>
      </w:r>
    </w:p>
    <w:p w14:paraId="0510C16A" w14:textId="7D67DF99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kur minėtas antrasis antigen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vienetas, specifiškai 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</w:t>
      </w:r>
    </w:p>
    <w:p w14:paraId="6ED8BE85" w14:textId="1C5D7655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lengvosios grandinės CDR, apimanči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55 (CDR1), SEQ ID Nr. 56 (CDR2) ir SEQ ID Nr. 57 (CDR3), ir sunkiosios grandinės CDR, apimanči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58 (CDR1), SEQ ID Nr. 59 (CDR2) ir SEQ ID Nr. 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60 (CDR3)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arba</w:t>
      </w:r>
    </w:p>
    <w:p w14:paraId="0C11EB4E" w14:textId="4D0BE0B4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 lengvosios grandinės CDR, apimanči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61 (CDR1), SEQ ID Nr. 62 (CDR2) ir SEQ ID Nr. 63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(CDR3), ir sunkiosios grandinės CDR, apimanči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64 (CDR1), SEQ ID Nr. 65 (CDR2) ir SEQ ID Nr. 6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(CDR</w:t>
      </w:r>
      <w:r w:rsidR="00B609D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).</w:t>
      </w:r>
    </w:p>
    <w:p w14:paraId="3BF7A847" w14:textId="77777777" w:rsidR="004C53F6" w:rsidRPr="004C53F6" w:rsidRDefault="004C53F6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DAA3D75" w14:textId="1A9285E6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2. Baltymas pagal 1 punktą, kur minėtas pirmasis antigeną surišantis vienetas apima lengvosios grandinės CDR, apimančias 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13 (CDR1), SEQ ID Nr. 14 (CDR2) ir SEQ ID Nr. 15 (CDR3), ir sunkiosios grandinės CDR, apimančias 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1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 (CDR1),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1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 (CDR2)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SEQ ID Nr. 18 (CDR3)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minėtas antrasis antigen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vienetas apima lengvosios grandinės CDR, apimančias 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sekas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55 (CDR1), SEQ ID Nr. 56 (CDR2) ir SEQ ID Nr. 57 (CDR3), ir sunkiosios grandinės CDR, apimančias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07CB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58 (CDR1), SEQ ID Nr. 59 (CDR2) ir SEQ ID Nr. 60 (CDR3)</w:t>
      </w:r>
      <w:r w:rsidR="00AA519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203C5F2" w14:textId="77777777" w:rsidR="00C07CBB" w:rsidRPr="004C53F6" w:rsidRDefault="00C07CBB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9836142" w14:textId="65261C78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 pagal 1 punktą, kur minėtas pirmasis antigen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vienetas, 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 pirmąjį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 ir pirmąjį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 ir yra parinktas iš grupės, su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daryto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iš i)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-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iii):</w:t>
      </w:r>
    </w:p>
    <w:p w14:paraId="5036F7E5" w14:textId="3B4770F9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antigen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 SEQ ID Nr. 37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 SEQ ID Nr. 38;</w:t>
      </w:r>
    </w:p>
    <w:p w14:paraId="67D0DAA4" w14:textId="3EC5D3A1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 antigen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39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 SEQ ID Nr. 40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5260A63C" w14:textId="465492CB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 antigen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 SEQ ID Nr. 41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42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1C7FFC5" w14:textId="77777777" w:rsidR="004C53F6" w:rsidRPr="004C53F6" w:rsidRDefault="004C53F6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4405AF0" w14:textId="4F781EBF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 pagal 1 arba 3 punktą, kur minėtas antrasis antigen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vienetas, 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specifiškai 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apima:</w:t>
      </w:r>
    </w:p>
    <w:p w14:paraId="03ED7325" w14:textId="35903E47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i)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 SEQ ID Nr. 67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68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arb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</w:p>
    <w:p w14:paraId="476710A2" w14:textId="79B1FD09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ii)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 SEQ ID Nr. 69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</w:t>
      </w:r>
      <w:r w:rsidR="000079D7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70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B793966" w14:textId="77777777" w:rsidR="000079D7" w:rsidRPr="004C53F6" w:rsidRDefault="000079D7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EC200F8" w14:textId="19918337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Baltymas pagal 4 punktą, kur minėtas pirmasis antigeną surišantis vienetas apima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 SEQ ID Nr. 41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</w:t>
      </w:r>
      <w:r w:rsidR="00C37FF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42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o minėtas antrasis antigeną surišantis vienetas apima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aminorūgščių seką SEQ ID Nr. 67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sunkiosios grandinės 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kintamąjį domeną, apimantį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 seką SEQ ID Nr. 6</w:t>
      </w:r>
      <w:r w:rsidR="00C37FF9" w:rsidRPr="004C53F6">
        <w:rPr>
          <w:rFonts w:ascii="Helvetica" w:hAnsi="Helvetica" w:cs="Arial"/>
          <w:color w:val="000000"/>
          <w:sz w:val="20"/>
          <w:shd w:val="clear" w:color="auto" w:fill="FFFFFF"/>
        </w:rPr>
        <w:t>8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DC0CF8C" w14:textId="77777777" w:rsidR="00C37FF9" w:rsidRPr="004C53F6" w:rsidRDefault="00C37FF9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421BE2F" w14:textId="20086C16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 pagal bet kurį iš 1-5 punktų, kur</w:t>
      </w:r>
    </w:p>
    <w:p w14:paraId="4D89FE52" w14:textId="1FCC49EA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minėtas pirmasis antigen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vienetas,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eilės tvarka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N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link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galo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: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pirmąjį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pirmąjį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pastovųjį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pirmąjį peptid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inį jungtuką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pirmąjį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 ir pirm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pastovųjį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CH1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41EE6356" w14:textId="190CC9D3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 minėtas antrasis antigen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vienetas,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 nuo N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link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galo</w:t>
      </w:r>
      <w:r w:rsidR="00B4068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antrą</w:t>
      </w:r>
      <w:r w:rsidR="00B1429D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antrąjį lengvosios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pastovųjį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antrąjį peptid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tuką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antrąjį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 ir antrąjį sunkiosios grandinės 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pastovųjį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CH1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ED184E4" w14:textId="77777777" w:rsidR="004C53F6" w:rsidRPr="004C53F6" w:rsidRDefault="004C53F6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F223E1B" w14:textId="2DF119F8" w:rsidR="006F6A00" w:rsidRPr="004C53F6" w:rsidRDefault="006F6A00" w:rsidP="004C53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 Baltymas pagal 6 punktą, kur minėtas pirmasis ir/arba antrasis peptidinis jung</w:t>
      </w:r>
      <w:r w:rsidR="00542715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tukas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26-42 aminorūgštis, </w:t>
      </w:r>
      <w:r w:rsidR="00542715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bet k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okį ilgį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30-40 aminorūgščių, 34-40 aminorūgščių arba 36-39 aminorūgščių, 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dar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-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38 aminorūgštis.</w:t>
      </w:r>
    </w:p>
    <w:p w14:paraId="3D238030" w14:textId="77777777" w:rsidR="00122933" w:rsidRPr="004C53F6" w:rsidRDefault="00122933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9686B2" w14:textId="1155D69A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 pagal 6 arba 7 punktą, kur minėtas pirmasis peptid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 antrasis peptid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Gly-Ser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pageidautina,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apimanti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seką SEQ ID Nr. 89, 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dar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minėtas pirmasis ir antrasis peptidini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tą pačią seką.</w:t>
      </w:r>
    </w:p>
    <w:p w14:paraId="6F74B012" w14:textId="77777777" w:rsidR="004C53F6" w:rsidRP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CCF44D2" w14:textId="55B09CA3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Baltymas pagal bet kurį iš 6-8 punktų, papildomai apimantis pirmąjį ir antrąjį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minėtas pirmasis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prijungtas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pirm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antigeną 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rišanči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minėtas antrasis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jungtas prie minėto antrojo antigeno suriš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vieneto</w:t>
      </w:r>
      <w:r w:rsidR="0012293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B9AF2FF" w14:textId="77777777" w:rsidR="004C53F6" w:rsidRP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5CC70CE" w14:textId="6D9C6F7F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 pagal 9 punktą, kur</w:t>
      </w:r>
    </w:p>
    <w:p w14:paraId="1F106C33" w14:textId="77777777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i) minėtas pirmasis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tiroziną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(Y) 366 padėtyje [T366Y], o minėtas antrasis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treoniną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(T) 407 padėtyje [Y407T], arba</w:t>
      </w:r>
    </w:p>
    <w:p w14:paraId="5413A071" w14:textId="00F88AEB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ii) minėtas pirmasis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triptofaną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(W) 366 padėtyje [T366W], o minėtas antrasis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(S) 366 padėtyje [T366S],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alaniną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(A) 368 padėtyje [L368A] ir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valiną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(V) 407 padėtyje [Y407V]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arba</w:t>
      </w:r>
    </w:p>
    <w:p w14:paraId="0FFEE692" w14:textId="77777777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iii) minėtas antrasis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tiroziną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(Y) 366 padėtyje [T366Y], o minėtas pirmasis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treoniną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(T) 407 padėtyje [Y407T], arba</w:t>
      </w:r>
    </w:p>
    <w:p w14:paraId="40E02882" w14:textId="0297DCA3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iv) minėtas antrasis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triptofaną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(W) 366 padėtyje [T366W], o minėtas pirmasis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(S) 366 padėtyje [T366S],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alaniną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(A) 368 padėtyje [L368A] ir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valiną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(V) 407 padėtyje [</w:t>
      </w:r>
      <w:r w:rsidR="003E6C80" w:rsidRPr="004C53F6"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  <w:t>Y407V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].</w:t>
      </w:r>
    </w:p>
    <w:p w14:paraId="3EFA8C44" w14:textId="44EC3809" w:rsidR="006F6A00" w:rsidRPr="004C53F6" w:rsidRDefault="003E6C8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</w:t>
      </w:r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minėtas pirmasis arba minėtas antrasis </w:t>
      </w:r>
      <w:proofErr w:type="spellStart"/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papildomai apima </w:t>
      </w:r>
      <w:proofErr w:type="spellStart"/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argininą</w:t>
      </w:r>
      <w:proofErr w:type="spellEnd"/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435 padėtyje [H435R] ir </w:t>
      </w:r>
      <w:proofErr w:type="spellStart"/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fenilalaniną</w:t>
      </w:r>
      <w:proofErr w:type="spellEnd"/>
      <w:r w:rsidR="006F6A0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436 padėtyje [Y436F].</w:t>
      </w:r>
    </w:p>
    <w:p w14:paraId="5049CCE6" w14:textId="77777777" w:rsidR="004C53F6" w:rsidRPr="004C53F6" w:rsidRDefault="004C53F6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7D125E7" w14:textId="77777777" w:rsidR="004C53F6" w:rsidRPr="004C53F6" w:rsidRDefault="006F6A00" w:rsidP="004C53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Baltymas pagal 10 punktą, kur minėtas pirmasis ir/arba minėtas antrasis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papildomai apima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alaniną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234 padėtyje [L234A] ir 235 padėtyje [L235A].</w:t>
      </w:r>
    </w:p>
    <w:p w14:paraId="39613E90" w14:textId="77777777" w:rsidR="004C53F6" w:rsidRPr="004C53F6" w:rsidRDefault="004C53F6" w:rsidP="004C53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785339E" w14:textId="21873EF6" w:rsidR="006F6A00" w:rsidRPr="004C53F6" w:rsidRDefault="006F6A00" w:rsidP="004C53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12.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 pagal bet kurį iš 6-11 punktų, kur pirmasis lengvosios grandinės pastovus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ir antrasis lengvosios grandinės pastovus</w:t>
      </w:r>
      <w:r w:rsidR="00A72472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žmogaus kapa arba lambda domeną.</w:t>
      </w:r>
    </w:p>
    <w:p w14:paraId="5FC912C6" w14:textId="485EBC8C" w:rsidR="003E6C80" w:rsidRPr="004C53F6" w:rsidRDefault="003E6C80" w:rsidP="004C53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</w:p>
    <w:p w14:paraId="49F9C5DA" w14:textId="48CE683F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Baltymas, 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</w:p>
    <w:p w14:paraId="0E282B9E" w14:textId="6B92ED8A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 pirm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ąją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apiman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</w:t>
      </w:r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seką SEQ ID Nr. 73, ir antr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specifiškai 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apiman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</w:t>
      </w:r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seką SEQ ID Nr. 79, arba</w:t>
      </w:r>
    </w:p>
    <w:p w14:paraId="361E03B2" w14:textId="66D43B98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 pirmą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 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apimančią aminorūgščių seką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74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ir antrąją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 </w:t>
      </w:r>
      <w:r w:rsidR="003E6C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apimančią aminorūgščių seką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79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arba</w:t>
      </w:r>
    </w:p>
    <w:p w14:paraId="38809F74" w14:textId="4287DAE2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(iii) pirmąją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apimančią aminorūgščių seką SEQ ID Nr. 75, ir antrą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specifiškai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apimančią aminorūgščių seką SEQ ID Nr. 79, arba</w:t>
      </w:r>
    </w:p>
    <w:p w14:paraId="3971EC2C" w14:textId="2C5D81B9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(iv) pirmąją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apimančią aminorūgščių seką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73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ir antrąją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apimančią aminorūgščių seką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80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arba</w:t>
      </w:r>
    </w:p>
    <w:p w14:paraId="627E3550" w14:textId="6E1B1675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(v) pirmąją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specifiškai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apimančią aminorūgščių seką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74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ir antrąją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specifiškai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apimančią aminorūgščių seką SEQ ID Nr. 80, arba</w:t>
      </w:r>
    </w:p>
    <w:p w14:paraId="1ED03C65" w14:textId="487BB1EA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(vi) pirmąją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apimančią aminorūgščių seką SEQ ID Nr. 75, ir antrą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specifiškai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apimančią aminorūgščių seką SEQ ID Nr. 80.</w:t>
      </w:r>
    </w:p>
    <w:p w14:paraId="2E9D9B9B" w14:textId="77777777" w:rsidR="004C53F6" w:rsidRPr="004C53F6" w:rsidRDefault="004C53F6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6A98F1" w14:textId="089D9AEE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Baltymas pagal 13 punktą, kur minėta pirmoji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grandinė,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specifiškai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DLL3, apima aminorūgščių seką SEQ ID Nr.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75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minėta antroji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grandinė,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specifiškai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rišasi su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 aminorūgščių seką SEQ ID Nr. 79.</w:t>
      </w:r>
    </w:p>
    <w:p w14:paraId="6B6AA4F3" w14:textId="77777777" w:rsidR="004C53F6" w:rsidRP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DEEA506" w14:textId="5B3F7456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Ląstelė-šeimininkė,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transfekuota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dviem </w:t>
      </w:r>
      <w:r w:rsidR="00156080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vektoriais</w:t>
      </w:r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vienu 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os vektoriumi, koduojančiu </w:t>
      </w:r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pirmąją </w:t>
      </w:r>
      <w:proofErr w:type="spellStart"/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polipeptidinę</w:t>
      </w:r>
      <w:proofErr w:type="spellEnd"/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 kurios seka atitinka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 kuri</w:t>
      </w:r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SEQ ID Nr. 73, SEQ ID Nr. 74 arba SEQ ID Nr. 75, ir kitu 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os vektoriumi, koduojančiu antrąją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polipeptidinę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</w:t>
      </w:r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kurios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</w:t>
      </w:r>
      <w:r w:rsidR="0044216B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atitinka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79 arba SEQ ID Nr. 80.</w:t>
      </w:r>
    </w:p>
    <w:p w14:paraId="3DD75ADD" w14:textId="77777777" w:rsidR="004C53F6" w:rsidRP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62F77FD" w14:textId="180E21DD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 pagal 13 punktą gamybos būdas, apimantis</w:t>
      </w:r>
    </w:p>
    <w:p w14:paraId="561B014C" w14:textId="19594135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ląstelės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šeimininkės pagal 15 punktą kultivavimą sąlygomis, leidžiančiomis 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vykti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baltym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13 punktą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raiškai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ir,</w:t>
      </w:r>
    </w:p>
    <w:p w14:paraId="650D9906" w14:textId="1BB1FFE7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ii) baltymo 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imą; ir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55B461E8" w14:textId="58B2E833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 tolesn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baltymo gryninim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 modifikavim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 formulavim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FF115B9" w14:textId="77777777" w:rsidR="004C53F6" w:rsidRPr="004C53F6" w:rsidRDefault="004C53F6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4856196" w14:textId="77777777" w:rsid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 pagal bet kurį iš 1-14 punktų, skirtas naudoti medicinoje.</w:t>
      </w:r>
    </w:p>
    <w:p w14:paraId="7B106C49" w14:textId="77777777" w:rsid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715A6F5" w14:textId="6BFD9A2C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apimanti baltymą pagal bet kurį iš 1-14 punktų ir farmaciniu požiūriu priimtiną nešiklį.</w:t>
      </w:r>
    </w:p>
    <w:p w14:paraId="2061BD4F" w14:textId="77777777" w:rsidR="004C53F6" w:rsidRPr="004C53F6" w:rsidRDefault="004C53F6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B12BFA" w14:textId="77777777" w:rsid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 Baltymas pagal bet kurį iš 1-14 punktų, skirtas naudoti vėžio gydymo būdu</w:t>
      </w:r>
      <w:r w:rsidR="002E0EA3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FE811EF" w14:textId="77777777" w:rsid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DF121E6" w14:textId="5CF0E0AC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20.</w:t>
      </w:r>
      <w:r w:rsidR="00751711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Baltymas, skirtas naudoti pagal 19 punktą, kur vėžys yra DLL3</w:t>
      </w:r>
      <w:r w:rsidR="006B38D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 vykdantis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navikas, </w:t>
      </w:r>
      <w:r w:rsidR="006B38D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</w:t>
      </w:r>
      <w:r w:rsidR="006B38D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vėžys yra SL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PV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glioblastoma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DLL3</w:t>
      </w:r>
      <w:r w:rsidR="006B38DE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 vykdantis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neuroendokrininis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navikas.</w:t>
      </w:r>
    </w:p>
    <w:p w14:paraId="56D94A9D" w14:textId="13529928" w:rsidR="006F6A00" w:rsidRPr="004C53F6" w:rsidRDefault="006F6A00" w:rsidP="004C53F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8AA1051" w14:textId="75673469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751711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Baltymas, skirtas naudoti pagal 19 arba 20 punktą, kur minėtas baltymas yra naudojamas derinyje su chemoterapiniu agentu,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aktyviu junginiu, kuris slopina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angiogenezę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signalo perdavimo kelio inhibitoriumi, EGFR inhibitoriumi, </w:t>
      </w:r>
      <w:proofErr w:type="spellStart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imunomoduliatoriumi</w:t>
      </w:r>
      <w:proofErr w:type="spellEnd"/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imuninės 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patikros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inhibitoriumi arba hormoninės terapijos agentu.</w:t>
      </w:r>
    </w:p>
    <w:p w14:paraId="2FDFB599" w14:textId="77777777" w:rsidR="004C53F6" w:rsidRP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B5CA1A" w14:textId="52A80B75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751711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Baltymas, skirtas naudoti pagal 21 punktą, kur minėtas baltymas yra naudojamas kartu su imunin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 patikros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inhibitoriumi,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pageidautina,</w:t>
      </w:r>
      <w:r w:rsidR="004C53F6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antikūnu 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PD-1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antikūnu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PD-L1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FCFD5B6" w14:textId="77777777" w:rsidR="004C53F6" w:rsidRPr="004C53F6" w:rsidRDefault="004C53F6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7181A8" w14:textId="46462E0B" w:rsidR="006F6A00" w:rsidRPr="004C53F6" w:rsidRDefault="006F6A00" w:rsidP="004C53F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23.</w:t>
      </w:r>
      <w:r w:rsidR="00751711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Baltymas, skirtas naudoti pagal 22 punktą, kur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PD-1 </w:t>
      </w:r>
      <w:r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 parinktas iš grupės, susidedančios iš PD1-1, PD1-2, PD1-3, PD1-4 ir PD1-5</w:t>
      </w:r>
      <w:r w:rsidR="00756909" w:rsidRPr="004C53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6F6A00" w:rsidRPr="004C53F6" w:rsidSect="004C53F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9A91" w14:textId="77777777" w:rsidR="00632CB1" w:rsidRDefault="00632CB1" w:rsidP="006F6A00">
      <w:pPr>
        <w:spacing w:after="0" w:line="240" w:lineRule="auto"/>
      </w:pPr>
      <w:r>
        <w:separator/>
      </w:r>
    </w:p>
  </w:endnote>
  <w:endnote w:type="continuationSeparator" w:id="0">
    <w:p w14:paraId="5C58CD5F" w14:textId="77777777" w:rsidR="00632CB1" w:rsidRDefault="00632CB1" w:rsidP="006F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4705" w14:textId="77777777" w:rsidR="00632CB1" w:rsidRDefault="00632CB1" w:rsidP="006F6A00">
      <w:pPr>
        <w:spacing w:after="0" w:line="240" w:lineRule="auto"/>
      </w:pPr>
      <w:r>
        <w:separator/>
      </w:r>
    </w:p>
  </w:footnote>
  <w:footnote w:type="continuationSeparator" w:id="0">
    <w:p w14:paraId="64817801" w14:textId="77777777" w:rsidR="00632CB1" w:rsidRDefault="00632CB1" w:rsidP="006F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00"/>
    <w:rsid w:val="000079D7"/>
    <w:rsid w:val="00033096"/>
    <w:rsid w:val="000C3B3A"/>
    <w:rsid w:val="00122933"/>
    <w:rsid w:val="00156080"/>
    <w:rsid w:val="001A6E79"/>
    <w:rsid w:val="00246228"/>
    <w:rsid w:val="002A6F0E"/>
    <w:rsid w:val="002E0EA3"/>
    <w:rsid w:val="003E6C80"/>
    <w:rsid w:val="003E727A"/>
    <w:rsid w:val="0044216B"/>
    <w:rsid w:val="004C53F6"/>
    <w:rsid w:val="00542715"/>
    <w:rsid w:val="0057785F"/>
    <w:rsid w:val="00632CB1"/>
    <w:rsid w:val="006B38DE"/>
    <w:rsid w:val="006F6A00"/>
    <w:rsid w:val="00751711"/>
    <w:rsid w:val="00756909"/>
    <w:rsid w:val="00775B13"/>
    <w:rsid w:val="00954416"/>
    <w:rsid w:val="00A72472"/>
    <w:rsid w:val="00AA5192"/>
    <w:rsid w:val="00AB08C8"/>
    <w:rsid w:val="00AD0A88"/>
    <w:rsid w:val="00B1429D"/>
    <w:rsid w:val="00B40682"/>
    <w:rsid w:val="00B609D6"/>
    <w:rsid w:val="00C02AAE"/>
    <w:rsid w:val="00C07CBB"/>
    <w:rsid w:val="00C13B83"/>
    <w:rsid w:val="00C3043E"/>
    <w:rsid w:val="00C37FF9"/>
    <w:rsid w:val="00C43B73"/>
    <w:rsid w:val="00D4766A"/>
    <w:rsid w:val="00DB40FE"/>
    <w:rsid w:val="00E62092"/>
    <w:rsid w:val="00E96F2A"/>
    <w:rsid w:val="00EA39AA"/>
    <w:rsid w:val="00EC5460"/>
    <w:rsid w:val="00EF7CDE"/>
    <w:rsid w:val="00F550F8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3F278"/>
  <w15:chartTrackingRefBased/>
  <w15:docId w15:val="{E0D5E6DE-574F-4B54-8A54-A400482C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6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6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6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6A0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6A0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6A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6A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6A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6A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6A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6A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6A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6A0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6A0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F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6A00"/>
  </w:style>
  <w:style w:type="paragraph" w:styleId="Porat">
    <w:name w:val="footer"/>
    <w:basedOn w:val="prastasis"/>
    <w:link w:val="PoratDiagrama"/>
    <w:uiPriority w:val="99"/>
    <w:unhideWhenUsed/>
    <w:rsid w:val="006F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6A00"/>
  </w:style>
  <w:style w:type="paragraph" w:styleId="prastasiniatinklio">
    <w:name w:val="Normal (Web)"/>
    <w:basedOn w:val="prastasis"/>
    <w:uiPriority w:val="99"/>
    <w:semiHidden/>
    <w:unhideWhenUsed/>
    <w:rsid w:val="00AD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D0A88"/>
    <w:rPr>
      <w:b/>
      <w:bCs/>
    </w:rPr>
  </w:style>
  <w:style w:type="character" w:customStyle="1" w:styleId="bold">
    <w:name w:val="bold"/>
    <w:basedOn w:val="Numatytasispastraiposriftas"/>
    <w:rsid w:val="00C3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Minkutė</dc:creator>
  <cp:keywords/>
  <dc:description/>
  <cp:lastModifiedBy>Rasa Gurčytė</cp:lastModifiedBy>
  <cp:revision>12</cp:revision>
  <dcterms:created xsi:type="dcterms:W3CDTF">2025-03-09T19:07:00Z</dcterms:created>
  <dcterms:modified xsi:type="dcterms:W3CDTF">2025-03-31T13:00:00Z</dcterms:modified>
</cp:coreProperties>
</file>