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7A12" w14:textId="1C6130B3"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apimantis pirmąją antigeną surišančią vietą, kuri rišasi su ErbB-2, ir antrąją antigeną surišančią vietą, kuri rišasi su ErbB-3, kur minėtas antikūnas apima bent ErbB-2 specifinės sunkiosios grandinės kintamosios srities CDR1, CDR2 ir CDR3 sekas, parinktas iš grupės, sudarytos iš MF2973, MF3004, MF3958, MF2971, MF3025, MF2916, MF3991, MF3031 ir MF3003, kaip pavaizduota 16A arba 16E paveiksle, ir kur minėtas antikūnas apima bent ErbB-3 specifinės sunkiosios grandinės kintamosios srities CDR1, CDR2 ir CDR3 sekas, parinktas iš grupės, sudarytos iš MF3178; MF3176; MF3163; MF6055; MF6056; MF6057; MF6058; MF6059; MF6060; MF6061; MF6062; MF6063; MF6064; MF6065; MF6066; MF6067; MF6068; MF6069; MF6070; MF6071; MF6072; MF6073 ir MF6074, kaip pavaizduota 16B arba 16E arba 37 paveiksle.</w:t>
      </w:r>
    </w:p>
    <w:p w14:paraId="1DD1ABDA"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1089C342" w14:textId="3A6DE952"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2.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1 punktą, kur minėtas antikūnas apima </w:t>
      </w:r>
      <w:bookmarkStart w:id="0" w:name="_Hlk184827475"/>
      <w:r w:rsidRPr="00105858">
        <w:rPr>
          <w:rFonts w:ascii="Helvetica" w:eastAsia="Aptos" w:hAnsi="Helvetica" w:cs="Arial"/>
          <w:sz w:val="20"/>
          <w:lang w:val="lt-LT"/>
        </w:rPr>
        <w:t>ErbB-2 specifinę sunkiosios grandinės kintamosios srities seką</w:t>
      </w:r>
      <w:bookmarkEnd w:id="0"/>
      <w:r w:rsidRPr="00105858">
        <w:rPr>
          <w:rFonts w:ascii="Helvetica" w:eastAsia="Aptos" w:hAnsi="Helvetica" w:cs="Arial"/>
          <w:sz w:val="20"/>
          <w:lang w:val="lt-LT"/>
        </w:rPr>
        <w:t>, parinktą iš grupės, sudarytos iš sunkiosios grandinės kintamosios srities sekų MF2973, MF3004, MF3958, MF2971, MF3025, MF2916, MF3991, MF3031 ir MF3003, kaip pavaizduota 16A arba 16E paveiksle, arba kur minėtas antikūnas apima sunkiosios grandinės kintamosios srities seką, besiskiriančią ne daugiau kaip 15 aminorūgščių nuo sunkiosios grandinės kintamosios srities sekų MF2973, MF3004, MF3958, MF2971, MF3025, MF2916, MF3991, MF3031 ir MF3003, ir/arba kur minėtas antikūnas apima ErbB-3 specifinę sunkiosios grandinės kintamosios srities seką, parinktą iš grupės, sudarytos iš sunkiosios grandinės kintamosios srities sekų MF3178; MF3176; MF3163; MF6055; MF6056; MF6057; MF6058; MF6059; MF6060; MF6061; MF6062; MF6063; MF6064; MF6065; MF6066; MF6067; MF6068; MF6069; MF6070; MF6071; MF6072; MF6073 ir MF6074, kaip pavaizduota 16B, 16E arba 37 paveiksle, arba kur minėtas antikūnas apima sunkiosios grandinės kintamosios srities seką, besiskiriančią ne daugiau kaip 15 aminorūgščių nuo sunkiosios grandinės kintamosios srities sekų MF3178; MF3176; MF3163; MF6055; MF6056; MF6057; MF6058; MF6059; MF6060; MF6061; MF6062; MF6063; MF6064; MF6065; MF6066; MF6067; MF6068; MF6069; MF6070; MF6071; MF6072; MF6073 arba MF6074.</w:t>
      </w:r>
    </w:p>
    <w:p w14:paraId="04E64DF2"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10146FBB" w14:textId="5586ECE4"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3.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1 arba 2 punktą, kur minėta pirmoji antigeną surišanti vieta apima bent MF3958 CDR1, CDR2 ir CDR3 sekas, ir kur minėta antroji antigeną surišanti vieta apima bent MF3178 CDR1, CDR2 ir CDR3 sekas.</w:t>
      </w:r>
    </w:p>
    <w:p w14:paraId="15D02042"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7B0F079C" w14:textId="2DAA458D"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4.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kur ErbB-2 specifinė sunkiosios grandinės kintamoji sritis yra MF3958, o ErbB-3 specifinė sunkiosios grandinės kintamoji sritis yra MF3178.</w:t>
      </w:r>
    </w:p>
    <w:p w14:paraId="76641C30"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0AA3F219" w14:textId="2BC67FB2"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5.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pasižymintis antikūnų nulemtu ląsteliniu </w:t>
      </w:r>
      <w:proofErr w:type="spellStart"/>
      <w:r w:rsidRPr="00105858">
        <w:rPr>
          <w:rFonts w:ascii="Helvetica" w:eastAsia="Aptos" w:hAnsi="Helvetica" w:cs="Arial"/>
          <w:sz w:val="20"/>
          <w:lang w:val="lt-LT"/>
        </w:rPr>
        <w:t>citotoksiškumu</w:t>
      </w:r>
      <w:proofErr w:type="spellEnd"/>
      <w:r w:rsidRPr="00105858">
        <w:rPr>
          <w:rFonts w:ascii="Helvetica" w:eastAsia="Aptos" w:hAnsi="Helvetica" w:cs="Arial"/>
          <w:sz w:val="20"/>
          <w:lang w:val="lt-LT"/>
        </w:rPr>
        <w:t xml:space="preserve"> (ADCC) ir/arba kuris yra </w:t>
      </w:r>
      <w:proofErr w:type="spellStart"/>
      <w:r w:rsidRPr="00105858">
        <w:rPr>
          <w:rFonts w:ascii="Helvetica" w:eastAsia="Aptos" w:hAnsi="Helvetica" w:cs="Arial"/>
          <w:sz w:val="20"/>
          <w:lang w:val="lt-LT"/>
        </w:rPr>
        <w:t>afukozilintas</w:t>
      </w:r>
      <w:proofErr w:type="spellEnd"/>
      <w:r w:rsidRPr="00105858">
        <w:rPr>
          <w:rFonts w:ascii="Helvetica" w:eastAsia="Aptos" w:hAnsi="Helvetica" w:cs="Arial"/>
          <w:sz w:val="20"/>
          <w:lang w:val="lt-LT"/>
        </w:rPr>
        <w:t>, kad sustiprinti ADCC.</w:t>
      </w:r>
    </w:p>
    <w:p w14:paraId="2F49CDE2"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4E8B5776" w14:textId="4CFF025D"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6.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kuris yra žmogaus arba humanizuotas antikūnas.</w:t>
      </w:r>
    </w:p>
    <w:p w14:paraId="77120816"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52A7346A" w14:textId="7D31DF88"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7.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apimantis dvi skirtingas imunoglobulino sunkiąsias grandines su tarpusavyje derančiais </w:t>
      </w:r>
      <w:proofErr w:type="spellStart"/>
      <w:r w:rsidRPr="00105858">
        <w:rPr>
          <w:rFonts w:ascii="Helvetica" w:eastAsia="Aptos" w:hAnsi="Helvetica" w:cs="Arial"/>
          <w:sz w:val="20"/>
          <w:lang w:val="lt-LT"/>
        </w:rPr>
        <w:t>heterodimerizacijos</w:t>
      </w:r>
      <w:proofErr w:type="spellEnd"/>
      <w:r w:rsidRPr="00105858">
        <w:rPr>
          <w:rFonts w:ascii="Helvetica" w:eastAsia="Aptos" w:hAnsi="Helvetica" w:cs="Arial"/>
          <w:sz w:val="20"/>
          <w:lang w:val="lt-LT"/>
        </w:rPr>
        <w:t xml:space="preserve"> domenais, pavyzdžiui, kur minėti tarpusavyje derantys </w:t>
      </w:r>
      <w:proofErr w:type="spellStart"/>
      <w:r w:rsidRPr="00105858">
        <w:rPr>
          <w:rFonts w:ascii="Helvetica" w:eastAsia="Aptos" w:hAnsi="Helvetica" w:cs="Arial"/>
          <w:sz w:val="20"/>
          <w:lang w:val="lt-LT"/>
        </w:rPr>
        <w:t>heterodimerizacijos</w:t>
      </w:r>
      <w:proofErr w:type="spellEnd"/>
      <w:r w:rsidRPr="00105858">
        <w:rPr>
          <w:rFonts w:ascii="Helvetica" w:eastAsia="Aptos" w:hAnsi="Helvetica" w:cs="Arial"/>
          <w:sz w:val="20"/>
          <w:lang w:val="lt-LT"/>
        </w:rPr>
        <w:t xml:space="preserve"> domenai yra tarpusavyje derantys imunoglobulino sunkiosios grandinės CH3 </w:t>
      </w:r>
      <w:proofErr w:type="spellStart"/>
      <w:r w:rsidRPr="00105858">
        <w:rPr>
          <w:rFonts w:ascii="Helvetica" w:eastAsia="Aptos" w:hAnsi="Helvetica" w:cs="Arial"/>
          <w:sz w:val="20"/>
          <w:lang w:val="lt-LT"/>
        </w:rPr>
        <w:t>heterodimerizacijos</w:t>
      </w:r>
      <w:proofErr w:type="spellEnd"/>
      <w:r w:rsidRPr="00105858">
        <w:rPr>
          <w:rFonts w:ascii="Helvetica" w:eastAsia="Aptos" w:hAnsi="Helvetica" w:cs="Arial"/>
          <w:sz w:val="20"/>
          <w:lang w:val="lt-LT"/>
        </w:rPr>
        <w:t xml:space="preserve"> domenai.</w:t>
      </w:r>
    </w:p>
    <w:p w14:paraId="1FF6784F"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7392AB95" w14:textId="08E18E1F"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8.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kur abi antikūno rankos apima bendrą lengvąją grandinę, pavyzdžiui, kur minėtoji bendra lengvoji grandinė yra </w:t>
      </w:r>
      <w:proofErr w:type="spellStart"/>
      <w:r w:rsidRPr="00105858">
        <w:rPr>
          <w:rFonts w:ascii="Helvetica" w:eastAsia="Aptos" w:hAnsi="Helvetica" w:cs="Arial"/>
          <w:sz w:val="20"/>
          <w:lang w:val="lt-LT"/>
        </w:rPr>
        <w:t>gonocitų</w:t>
      </w:r>
      <w:proofErr w:type="spellEnd"/>
      <w:r w:rsidRPr="00105858">
        <w:rPr>
          <w:rFonts w:ascii="Helvetica" w:eastAsia="Aptos" w:hAnsi="Helvetica" w:cs="Arial"/>
          <w:sz w:val="20"/>
          <w:lang w:val="lt-LT"/>
        </w:rPr>
        <w:t xml:space="preserve"> linijos lengvoji grandinė, </w:t>
      </w:r>
      <w:r w:rsidRPr="00105858">
        <w:rPr>
          <w:rFonts w:ascii="Helvetica" w:eastAsia="Aptos" w:hAnsi="Helvetica" w:cs="Arial"/>
          <w:sz w:val="20"/>
          <w:lang w:val="lt-LT"/>
        </w:rPr>
        <w:lastRenderedPageBreak/>
        <w:t xml:space="preserve">pageidautina, pertvarkyta </w:t>
      </w:r>
      <w:proofErr w:type="spellStart"/>
      <w:r w:rsidRPr="00105858">
        <w:rPr>
          <w:rFonts w:ascii="Helvetica" w:eastAsia="Aptos" w:hAnsi="Helvetica" w:cs="Arial"/>
          <w:sz w:val="20"/>
          <w:lang w:val="lt-LT"/>
        </w:rPr>
        <w:t>gonocitų</w:t>
      </w:r>
      <w:proofErr w:type="spellEnd"/>
      <w:r w:rsidRPr="00105858">
        <w:rPr>
          <w:rFonts w:ascii="Helvetica" w:eastAsia="Aptos" w:hAnsi="Helvetica" w:cs="Arial"/>
          <w:sz w:val="20"/>
          <w:lang w:val="lt-LT"/>
        </w:rPr>
        <w:t xml:space="preserve"> linijos žmogaus kapa lengvoji grandinė, apimanti IgVKl-39 geno segmentą, labiausiai pageidautina, pertvarkyta </w:t>
      </w:r>
      <w:proofErr w:type="spellStart"/>
      <w:r w:rsidRPr="00105858">
        <w:rPr>
          <w:rFonts w:ascii="Helvetica" w:eastAsia="Aptos" w:hAnsi="Helvetica" w:cs="Arial"/>
          <w:sz w:val="20"/>
          <w:lang w:val="lt-LT"/>
        </w:rPr>
        <w:t>gonocitų</w:t>
      </w:r>
      <w:proofErr w:type="spellEnd"/>
      <w:r w:rsidRPr="00105858">
        <w:rPr>
          <w:rFonts w:ascii="Helvetica" w:eastAsia="Aptos" w:hAnsi="Helvetica" w:cs="Arial"/>
          <w:sz w:val="20"/>
          <w:lang w:val="lt-LT"/>
        </w:rPr>
        <w:t xml:space="preserve"> linijos žmogaus kapa lengvoji grandinė </w:t>
      </w:r>
      <w:r w:rsidRPr="00105858">
        <w:rPr>
          <w:rFonts w:ascii="Helvetica" w:eastAsia="Times New Roman" w:hAnsi="Helvetica" w:cs="Arial"/>
          <w:kern w:val="0"/>
          <w:sz w:val="20"/>
          <w:lang w:val="lt-LT" w:eastAsia="lt-LT"/>
          <w14:ligatures w14:val="none"/>
        </w:rPr>
        <w:t>IgVKl-39*01/</w:t>
      </w:r>
      <w:proofErr w:type="spellStart"/>
      <w:r w:rsidRPr="00105858">
        <w:rPr>
          <w:rFonts w:ascii="Helvetica" w:eastAsia="Times New Roman" w:hAnsi="Helvetica" w:cs="Arial"/>
          <w:kern w:val="0"/>
          <w:sz w:val="20"/>
          <w:lang w:val="lt-LT" w:eastAsia="lt-LT"/>
          <w14:ligatures w14:val="none"/>
        </w:rPr>
        <w:t>IGJKl</w:t>
      </w:r>
      <w:proofErr w:type="spellEnd"/>
      <w:r w:rsidRPr="00105858">
        <w:rPr>
          <w:rFonts w:ascii="Helvetica" w:eastAsia="Times New Roman" w:hAnsi="Helvetica" w:cs="Arial"/>
          <w:kern w:val="0"/>
          <w:sz w:val="20"/>
          <w:lang w:val="lt-LT" w:eastAsia="lt-LT"/>
          <w14:ligatures w14:val="none"/>
        </w:rPr>
        <w:t>*01</w:t>
      </w:r>
      <w:r w:rsidRPr="00105858">
        <w:rPr>
          <w:rFonts w:ascii="Helvetica" w:eastAsia="Aptos" w:hAnsi="Helvetica" w:cs="Arial"/>
          <w:sz w:val="20"/>
          <w:lang w:val="lt-LT"/>
        </w:rPr>
        <w:t>.</w:t>
      </w:r>
    </w:p>
    <w:p w14:paraId="33501393"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5CCD749B" w14:textId="3BD4F29D"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9.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ankstesnių punktų, kur ir pirmoji, ir antroji antigeną surišančios vietos apima lengvosios grandinės kintamą domeną, kaip pavaizduota 16C paveiksle.</w:t>
      </w:r>
    </w:p>
    <w:p w14:paraId="37B1F3D8"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4F411A25" w14:textId="77777777" w:rsid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10. </w:t>
      </w:r>
      <w:r w:rsidRPr="00105858">
        <w:rPr>
          <w:rFonts w:ascii="Helvetica" w:eastAsia="Aptos" w:hAnsi="Helvetica" w:cs="Arial"/>
          <w:sz w:val="20"/>
          <w:lang w:val="lt-LT"/>
        </w:rPr>
        <w:t xml:space="preserve">Farmacinė kompozicija, apimanti </w:t>
      </w:r>
      <w:proofErr w:type="spellStart"/>
      <w:r w:rsidRPr="00105858">
        <w:rPr>
          <w:rFonts w:ascii="Helvetica" w:eastAsia="Aptos" w:hAnsi="Helvetica" w:cs="Arial"/>
          <w:sz w:val="20"/>
          <w:lang w:val="lt-LT"/>
        </w:rPr>
        <w:t>bispecifinį</w:t>
      </w:r>
      <w:proofErr w:type="spellEnd"/>
      <w:r w:rsidRPr="00105858">
        <w:rPr>
          <w:rFonts w:ascii="Helvetica" w:eastAsia="Aptos" w:hAnsi="Helvetica" w:cs="Arial"/>
          <w:sz w:val="20"/>
          <w:lang w:val="lt-LT"/>
        </w:rPr>
        <w:t xml:space="preserve"> antikūną pagal bet kurį iš 1–9 punktų.</w:t>
      </w:r>
    </w:p>
    <w:p w14:paraId="5B1F61D2" w14:textId="77777777" w:rsidR="00105858" w:rsidRDefault="00105858" w:rsidP="00105858">
      <w:pPr>
        <w:spacing w:after="0" w:line="360" w:lineRule="auto"/>
        <w:ind w:firstLine="567"/>
        <w:jc w:val="both"/>
        <w:rPr>
          <w:rFonts w:ascii="Helvetica" w:eastAsia="Aptos" w:hAnsi="Helvetica" w:cs="Arial"/>
          <w:sz w:val="20"/>
          <w:lang w:val="lt-LT"/>
        </w:rPr>
      </w:pPr>
    </w:p>
    <w:p w14:paraId="6961E3C0" w14:textId="0F94D0EA"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11. </w:t>
      </w:r>
      <w:r w:rsidRPr="00105858">
        <w:rPr>
          <w:rFonts w:ascii="Helvetica" w:eastAsia="Aptos" w:hAnsi="Helvetica" w:cs="Arial"/>
          <w:sz w:val="20"/>
          <w:lang w:val="lt-LT"/>
        </w:rPr>
        <w:t>Antikūnas pagal bet kurį iš 1–9 punktų, skirtas naudoti subjektui, sergančiam arba turinčiam riziką susirgti ErbB-2, ErbB-3 arba ErbB-2/ErbB-3 teigiamu naviku, gydyti.</w:t>
      </w:r>
    </w:p>
    <w:p w14:paraId="18E0AC47" w14:textId="77777777" w:rsidR="00105858" w:rsidRPr="00105858" w:rsidRDefault="00105858" w:rsidP="00105858">
      <w:pPr>
        <w:spacing w:after="0" w:line="360" w:lineRule="auto"/>
        <w:jc w:val="both"/>
        <w:rPr>
          <w:rFonts w:ascii="Helvetica" w:eastAsia="Aptos" w:hAnsi="Helvetica" w:cs="Arial"/>
          <w:sz w:val="20"/>
          <w:lang w:val="lt-LT"/>
        </w:rPr>
      </w:pPr>
    </w:p>
    <w:p w14:paraId="6B6B37B4" w14:textId="5096CA68"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12. </w:t>
      </w:r>
      <w:r w:rsidRPr="00105858">
        <w:rPr>
          <w:rFonts w:ascii="Helvetica" w:eastAsia="Aptos" w:hAnsi="Helvetica" w:cs="Arial"/>
          <w:sz w:val="20"/>
          <w:lang w:val="lt-LT"/>
        </w:rPr>
        <w:t xml:space="preserve">Antikūnas pagal 11 punktą, kur minėtas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skirtas naudoti subjektui, kurio širdies funkcija yra mažesnė nei 90 %, palyginti su sveikos širdies funkcija, pavyzdžiui, kur minėta širdies funkcija apima kairiojo skilvelio išstūmimo frakciją (LVEF).</w:t>
      </w:r>
    </w:p>
    <w:p w14:paraId="29203EBA" w14:textId="77777777" w:rsidR="00105858" w:rsidRPr="00105858" w:rsidRDefault="00105858" w:rsidP="00105858">
      <w:pPr>
        <w:spacing w:after="0" w:line="360" w:lineRule="auto"/>
        <w:ind w:firstLine="567"/>
        <w:jc w:val="both"/>
        <w:rPr>
          <w:rFonts w:ascii="Helvetica" w:eastAsia="Aptos" w:hAnsi="Helvetica" w:cs="Arial"/>
          <w:sz w:val="20"/>
          <w:lang w:val="lt-LT"/>
        </w:rPr>
      </w:pPr>
    </w:p>
    <w:p w14:paraId="0B44F75E" w14:textId="1C515F8C"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13.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apimantis pirmąją antigeną surišančią vietą, kuri rišasi su ErbB-2, ir antrąją antigeną surišančią vietą, kuri rišasi su ErbB-3, pagal bet kurį iš 1–9 punktų, skirtas naudoti ErbB-2, ErbB-3 arba ErbB-2/ErbB-3 teigiamam navikui gydyti, kur minėtas gydymas apima šio </w:t>
      </w:r>
      <w:proofErr w:type="spellStart"/>
      <w:r w:rsidRPr="00105858">
        <w:rPr>
          <w:rFonts w:ascii="Helvetica" w:eastAsia="Aptos" w:hAnsi="Helvetica" w:cs="Arial"/>
          <w:sz w:val="20"/>
          <w:lang w:val="lt-LT"/>
        </w:rPr>
        <w:t>bispecifinio</w:t>
      </w:r>
      <w:proofErr w:type="spellEnd"/>
      <w:r w:rsidRPr="00105858">
        <w:rPr>
          <w:rFonts w:ascii="Helvetica" w:eastAsia="Aptos" w:hAnsi="Helvetica" w:cs="Arial"/>
          <w:sz w:val="20"/>
          <w:lang w:val="lt-LT"/>
        </w:rPr>
        <w:t xml:space="preserve"> antikūno ir bent vieno junginio, parinkto iš grupės, sudarytos iš</w:t>
      </w:r>
    </w:p>
    <w:p w14:paraId="6FD2981A"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PI3Kinazės signalinio kelio komponento inhibitoriaus,</w:t>
      </w:r>
    </w:p>
    <w:p w14:paraId="7D221E2B"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MAPK signalinio kelio komponento inhibitoriaus,</w:t>
      </w:r>
    </w:p>
    <w:p w14:paraId="20EC5A39"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mikrovamzdelių</w:t>
      </w:r>
      <w:proofErr w:type="spellEnd"/>
      <w:r w:rsidRPr="00105858">
        <w:rPr>
          <w:rFonts w:ascii="Helvetica" w:eastAsia="Aptos" w:hAnsi="Helvetica" w:cs="Arial"/>
          <w:sz w:val="20"/>
          <w:lang w:val="lt-LT"/>
        </w:rPr>
        <w:t xml:space="preserve"> ardymo vaisto, pavyzdžiui, </w:t>
      </w:r>
      <w:proofErr w:type="spellStart"/>
      <w:r w:rsidRPr="00105858">
        <w:rPr>
          <w:rFonts w:ascii="Helvetica" w:eastAsia="Aptos" w:hAnsi="Helvetica" w:cs="Arial"/>
          <w:sz w:val="20"/>
          <w:lang w:val="lt-LT"/>
        </w:rPr>
        <w:t>paklitakselio</w:t>
      </w:r>
      <w:proofErr w:type="spellEnd"/>
      <w:r w:rsidRPr="00105858">
        <w:rPr>
          <w:rFonts w:ascii="Helvetica" w:eastAsia="Aptos" w:hAnsi="Helvetica" w:cs="Arial"/>
          <w:sz w:val="20"/>
          <w:lang w:val="lt-LT"/>
        </w:rPr>
        <w:t>, ir</w:t>
      </w:r>
    </w:p>
    <w:p w14:paraId="264E0743"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 xml:space="preserve">HDAC inhibitoriaus, pavyzdžiui, </w:t>
      </w:r>
      <w:proofErr w:type="spellStart"/>
      <w:r w:rsidRPr="00105858">
        <w:rPr>
          <w:rFonts w:ascii="Helvetica" w:eastAsia="Aptos" w:hAnsi="Helvetica" w:cs="Arial"/>
          <w:sz w:val="20"/>
          <w:lang w:val="lt-LT"/>
        </w:rPr>
        <w:t>vorinostato</w:t>
      </w:r>
      <w:proofErr w:type="spellEnd"/>
      <w:r w:rsidRPr="00105858">
        <w:rPr>
          <w:rFonts w:ascii="Helvetica" w:eastAsia="Aptos" w:hAnsi="Helvetica" w:cs="Arial"/>
          <w:sz w:val="20"/>
          <w:lang w:val="lt-LT"/>
        </w:rPr>
        <w:t>,</w:t>
      </w:r>
    </w:p>
    <w:p w14:paraId="1A7964EB"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 xml:space="preserve">pageidautina, skiriant minėtą </w:t>
      </w:r>
      <w:proofErr w:type="spellStart"/>
      <w:r w:rsidRPr="00105858">
        <w:rPr>
          <w:rFonts w:ascii="Helvetica" w:eastAsia="Aptos" w:hAnsi="Helvetica" w:cs="Arial"/>
          <w:sz w:val="20"/>
          <w:lang w:val="lt-LT"/>
        </w:rPr>
        <w:t>bispecifinį</w:t>
      </w:r>
      <w:proofErr w:type="spellEnd"/>
      <w:r w:rsidRPr="00105858">
        <w:rPr>
          <w:rFonts w:ascii="Helvetica" w:eastAsia="Aptos" w:hAnsi="Helvetica" w:cs="Arial"/>
          <w:sz w:val="20"/>
          <w:lang w:val="lt-LT"/>
        </w:rPr>
        <w:t xml:space="preserve"> antikūną ir bent vieną junginį, parinktą iš grupės, sudarytos iš</w:t>
      </w:r>
    </w:p>
    <w:p w14:paraId="3E213B1A"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tirozinkinazės</w:t>
      </w:r>
      <w:proofErr w:type="spellEnd"/>
      <w:r w:rsidRPr="00105858">
        <w:rPr>
          <w:rFonts w:ascii="Helvetica" w:eastAsia="Aptos" w:hAnsi="Helvetica" w:cs="Arial"/>
          <w:sz w:val="20"/>
          <w:lang w:val="lt-LT"/>
        </w:rPr>
        <w:t xml:space="preserve"> inhibitoriaus, pavyzdžiui, </w:t>
      </w:r>
      <w:proofErr w:type="spellStart"/>
      <w:r w:rsidRPr="00105858">
        <w:rPr>
          <w:rFonts w:ascii="Helvetica" w:eastAsia="Aptos" w:hAnsi="Helvetica" w:cs="Arial"/>
          <w:sz w:val="20"/>
          <w:lang w:val="lt-LT"/>
        </w:rPr>
        <w:t>afatinibo</w:t>
      </w:r>
      <w:proofErr w:type="spellEnd"/>
      <w:r w:rsidRPr="00105858">
        <w:rPr>
          <w:rFonts w:ascii="Helvetica" w:eastAsia="Aptos" w:hAnsi="Helvetica" w:cs="Arial"/>
          <w:sz w:val="20"/>
          <w:lang w:val="lt-LT"/>
        </w:rPr>
        <w:t xml:space="preserve">, </w:t>
      </w:r>
      <w:proofErr w:type="spellStart"/>
      <w:r w:rsidRPr="00105858">
        <w:rPr>
          <w:rFonts w:ascii="Helvetica" w:eastAsia="Aptos" w:hAnsi="Helvetica" w:cs="Arial"/>
          <w:sz w:val="20"/>
          <w:lang w:val="lt-LT"/>
        </w:rPr>
        <w:t>lapatinibo</w:t>
      </w:r>
      <w:proofErr w:type="spellEnd"/>
      <w:r w:rsidRPr="00105858">
        <w:rPr>
          <w:rFonts w:ascii="Helvetica" w:eastAsia="Aptos" w:hAnsi="Helvetica" w:cs="Arial"/>
          <w:sz w:val="20"/>
          <w:lang w:val="lt-LT"/>
        </w:rPr>
        <w:t xml:space="preserve"> ir/arba </w:t>
      </w:r>
      <w:proofErr w:type="spellStart"/>
      <w:r w:rsidRPr="00105858">
        <w:rPr>
          <w:rFonts w:ascii="Helvetica" w:eastAsia="Aptos" w:hAnsi="Helvetica" w:cs="Arial"/>
          <w:sz w:val="20"/>
          <w:lang w:val="lt-LT"/>
        </w:rPr>
        <w:t>neratinibo</w:t>
      </w:r>
      <w:proofErr w:type="spellEnd"/>
      <w:r w:rsidRPr="00105858">
        <w:rPr>
          <w:rFonts w:ascii="Helvetica" w:eastAsia="Aptos" w:hAnsi="Helvetica" w:cs="Arial"/>
          <w:sz w:val="20"/>
          <w:lang w:val="lt-LT"/>
        </w:rPr>
        <w:t>,</w:t>
      </w:r>
    </w:p>
    <w:p w14:paraId="1BE522F9"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PI3Ka inhibitoriaus, pavyzdžiui, BYL719,</w:t>
      </w:r>
    </w:p>
    <w:p w14:paraId="407B6BB8"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Akt inhibitoriaus, pavyzdžiui, MK-2206,</w:t>
      </w:r>
    </w:p>
    <w:p w14:paraId="59E053B3"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mTOR</w:t>
      </w:r>
      <w:proofErr w:type="spellEnd"/>
      <w:r w:rsidRPr="00105858">
        <w:rPr>
          <w:rFonts w:ascii="Helvetica" w:eastAsia="Aptos" w:hAnsi="Helvetica" w:cs="Arial"/>
          <w:sz w:val="20"/>
          <w:lang w:val="lt-LT"/>
        </w:rPr>
        <w:t xml:space="preserve"> inhibitoriaus, pavyzdžiui, </w:t>
      </w:r>
      <w:proofErr w:type="spellStart"/>
      <w:r w:rsidRPr="00105858">
        <w:rPr>
          <w:rFonts w:ascii="Helvetica" w:eastAsia="Aptos" w:hAnsi="Helvetica" w:cs="Arial"/>
          <w:sz w:val="20"/>
          <w:lang w:val="lt-LT"/>
        </w:rPr>
        <w:t>everolimuso</w:t>
      </w:r>
      <w:proofErr w:type="spellEnd"/>
      <w:r w:rsidRPr="00105858">
        <w:rPr>
          <w:rFonts w:ascii="Helvetica" w:eastAsia="Aptos" w:hAnsi="Helvetica" w:cs="Arial"/>
          <w:sz w:val="20"/>
          <w:lang w:val="lt-LT"/>
        </w:rPr>
        <w:t>,</w:t>
      </w:r>
    </w:p>
    <w:p w14:paraId="0DF7DC69"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Src</w:t>
      </w:r>
      <w:proofErr w:type="spellEnd"/>
      <w:r w:rsidRPr="00105858">
        <w:rPr>
          <w:rFonts w:ascii="Helvetica" w:eastAsia="Aptos" w:hAnsi="Helvetica" w:cs="Arial"/>
          <w:sz w:val="20"/>
          <w:lang w:val="lt-LT"/>
        </w:rPr>
        <w:t xml:space="preserve"> inhibitoriaus, pavyzdžiui, </w:t>
      </w:r>
      <w:proofErr w:type="spellStart"/>
      <w:r w:rsidRPr="00105858">
        <w:rPr>
          <w:rFonts w:ascii="Helvetica" w:eastAsia="Aptos" w:hAnsi="Helvetica" w:cs="Arial"/>
          <w:sz w:val="20"/>
          <w:lang w:val="lt-LT"/>
        </w:rPr>
        <w:t>sarakatinibo</w:t>
      </w:r>
      <w:proofErr w:type="spellEnd"/>
      <w:r w:rsidRPr="00105858">
        <w:rPr>
          <w:rFonts w:ascii="Helvetica" w:eastAsia="Aptos" w:hAnsi="Helvetica" w:cs="Arial"/>
          <w:sz w:val="20"/>
          <w:lang w:val="lt-LT"/>
        </w:rPr>
        <w:t>,</w:t>
      </w:r>
    </w:p>
    <w:p w14:paraId="78CF6E93"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vorinostato</w:t>
      </w:r>
      <w:proofErr w:type="spellEnd"/>
      <w:r w:rsidRPr="00105858">
        <w:rPr>
          <w:rFonts w:ascii="Helvetica" w:eastAsia="Aptos" w:hAnsi="Helvetica" w:cs="Arial"/>
          <w:sz w:val="20"/>
          <w:lang w:val="lt-LT"/>
        </w:rPr>
        <w:t xml:space="preserve"> ir</w:t>
      </w:r>
    </w:p>
    <w:p w14:paraId="48D1F3B7" w14:textId="77777777" w:rsidR="00105858" w:rsidRPr="00105858" w:rsidRDefault="00105858" w:rsidP="00105858">
      <w:pPr>
        <w:spacing w:after="0" w:line="360" w:lineRule="auto"/>
        <w:jc w:val="both"/>
        <w:rPr>
          <w:rFonts w:ascii="Helvetica" w:eastAsia="Aptos" w:hAnsi="Helvetica" w:cs="Arial"/>
          <w:sz w:val="20"/>
          <w:lang w:val="lt-LT"/>
        </w:rPr>
      </w:pPr>
      <w:proofErr w:type="spellStart"/>
      <w:r w:rsidRPr="00105858">
        <w:rPr>
          <w:rFonts w:ascii="Helvetica" w:eastAsia="Aptos" w:hAnsi="Helvetica" w:cs="Arial"/>
          <w:sz w:val="20"/>
          <w:lang w:val="lt-LT"/>
        </w:rPr>
        <w:t>paklitakselio</w:t>
      </w:r>
      <w:proofErr w:type="spellEnd"/>
      <w:r w:rsidRPr="00105858">
        <w:rPr>
          <w:rFonts w:ascii="Helvetica" w:eastAsia="Aptos" w:hAnsi="Helvetica" w:cs="Arial"/>
          <w:sz w:val="20"/>
          <w:lang w:val="lt-LT"/>
        </w:rPr>
        <w:t>,</w:t>
      </w:r>
    </w:p>
    <w:p w14:paraId="397F8621" w14:textId="77777777" w:rsidR="00105858" w:rsidRPr="00105858" w:rsidRDefault="00105858" w:rsidP="00105858">
      <w:pPr>
        <w:spacing w:after="0" w:line="360" w:lineRule="auto"/>
        <w:jc w:val="both"/>
        <w:rPr>
          <w:rFonts w:ascii="Helvetica" w:eastAsia="Aptos" w:hAnsi="Helvetica" w:cs="Arial"/>
          <w:sz w:val="20"/>
          <w:lang w:val="lt-LT"/>
        </w:rPr>
      </w:pPr>
      <w:r w:rsidRPr="00105858">
        <w:rPr>
          <w:rFonts w:ascii="Helvetica" w:eastAsia="Aptos" w:hAnsi="Helvetica" w:cs="Arial"/>
          <w:sz w:val="20"/>
          <w:lang w:val="lt-LT"/>
        </w:rPr>
        <w:t>skyrimą subjektui, sergančiam ErbB-2, ErbB-3 arba ErbB-2/ErbB-3 teigiamu naviku.</w:t>
      </w:r>
    </w:p>
    <w:p w14:paraId="6C4960E0" w14:textId="77777777" w:rsidR="00105858" w:rsidRPr="00105858" w:rsidRDefault="00105858" w:rsidP="00105858">
      <w:pPr>
        <w:spacing w:after="0" w:line="360" w:lineRule="auto"/>
        <w:jc w:val="both"/>
        <w:rPr>
          <w:rFonts w:ascii="Helvetica" w:eastAsia="Aptos" w:hAnsi="Helvetica" w:cs="Arial"/>
          <w:sz w:val="20"/>
          <w:lang w:val="lt-LT"/>
        </w:rPr>
      </w:pPr>
    </w:p>
    <w:p w14:paraId="561656C1" w14:textId="08CB1DCB" w:rsidR="00105858" w:rsidRPr="00105858" w:rsidRDefault="00105858" w:rsidP="00105858">
      <w:pPr>
        <w:spacing w:after="0" w:line="360" w:lineRule="auto"/>
        <w:ind w:firstLine="567"/>
        <w:jc w:val="both"/>
        <w:rPr>
          <w:rFonts w:ascii="Helvetica" w:eastAsia="Aptos" w:hAnsi="Helvetica" w:cs="Arial"/>
          <w:sz w:val="20"/>
          <w:lang w:val="lt-LT"/>
        </w:rPr>
      </w:pPr>
      <w:r w:rsidRPr="00105858">
        <w:rPr>
          <w:rFonts w:ascii="Helvetica" w:eastAsia="Aptos" w:hAnsi="Helvetica" w:cs="Arial"/>
          <w:sz w:val="20"/>
          <w:lang w:val="lt-LT"/>
        </w:rPr>
        <w:t xml:space="preserve">14. </w:t>
      </w:r>
      <w:proofErr w:type="spellStart"/>
      <w:r w:rsidRPr="00105858">
        <w:rPr>
          <w:rFonts w:ascii="Helvetica" w:eastAsia="Aptos" w:hAnsi="Helvetica" w:cs="Arial"/>
          <w:sz w:val="20"/>
          <w:lang w:val="lt-LT"/>
        </w:rPr>
        <w:t>Bispecifinis</w:t>
      </w:r>
      <w:proofErr w:type="spellEnd"/>
      <w:r w:rsidRPr="00105858">
        <w:rPr>
          <w:rFonts w:ascii="Helvetica" w:eastAsia="Aptos" w:hAnsi="Helvetica" w:cs="Arial"/>
          <w:sz w:val="20"/>
          <w:lang w:val="lt-LT"/>
        </w:rPr>
        <w:t xml:space="preserve"> antikūnas pagal bet kurį iš 11–13 punktų, kur minėta naviko ląstelė yra krūties vėžio, skrandžio vėžio, storosios žarnos vėžio, gaubtinės žarnos vėžio, skrandžio ir stemplės vėžio, stemplės vėžio, </w:t>
      </w:r>
      <w:proofErr w:type="spellStart"/>
      <w:r w:rsidRPr="00105858">
        <w:rPr>
          <w:rFonts w:ascii="Helvetica" w:eastAsia="Aptos" w:hAnsi="Helvetica" w:cs="Arial"/>
          <w:sz w:val="20"/>
          <w:lang w:val="lt-LT"/>
        </w:rPr>
        <w:t>endometriumo</w:t>
      </w:r>
      <w:proofErr w:type="spellEnd"/>
      <w:r w:rsidRPr="00105858">
        <w:rPr>
          <w:rFonts w:ascii="Helvetica" w:eastAsia="Aptos" w:hAnsi="Helvetica" w:cs="Arial"/>
          <w:sz w:val="20"/>
          <w:lang w:val="lt-LT"/>
        </w:rPr>
        <w:t xml:space="preserve"> vėžio, kiaušidžių vėžio, kepenų vėžio, plaučių vėžio, įskaitant </w:t>
      </w:r>
      <w:proofErr w:type="spellStart"/>
      <w:r w:rsidRPr="00105858">
        <w:rPr>
          <w:rFonts w:ascii="Helvetica" w:eastAsia="Aptos" w:hAnsi="Helvetica" w:cs="Arial"/>
          <w:sz w:val="20"/>
          <w:lang w:val="lt-LT"/>
        </w:rPr>
        <w:t>nesmulkialąstelinį</w:t>
      </w:r>
      <w:proofErr w:type="spellEnd"/>
      <w:r w:rsidRPr="00105858">
        <w:rPr>
          <w:rFonts w:ascii="Helvetica" w:eastAsia="Aptos" w:hAnsi="Helvetica" w:cs="Arial"/>
          <w:sz w:val="20"/>
          <w:lang w:val="lt-LT"/>
        </w:rPr>
        <w:t xml:space="preserve"> plaučių vėžį, šviesiųjų ląstelių sarkomos, seilių liaukų vėžio, galvos ir kaklo vėžio, smegenų vėžio, šlapimo pūslės vėžio, kasos vėžio, prostatos vėžio, inkstų vėžio, odos vėžio arba melanomos ląstelė.</w:t>
      </w:r>
    </w:p>
    <w:sectPr w:rsidR="00105858" w:rsidRPr="00105858" w:rsidSect="00105858">
      <w:pgSz w:w="11906" w:h="16838"/>
      <w:pgMar w:top="1134" w:right="567" w:bottom="567"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9BB06" w14:textId="77777777" w:rsidR="00020C4E" w:rsidRDefault="00020C4E" w:rsidP="00105858">
      <w:pPr>
        <w:spacing w:after="0" w:line="240" w:lineRule="auto"/>
      </w:pPr>
      <w:r>
        <w:separator/>
      </w:r>
    </w:p>
  </w:endnote>
  <w:endnote w:type="continuationSeparator" w:id="0">
    <w:p w14:paraId="753CE21A" w14:textId="77777777" w:rsidR="00020C4E" w:rsidRDefault="00020C4E" w:rsidP="0010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3EFC" w14:textId="77777777" w:rsidR="00020C4E" w:rsidRDefault="00020C4E" w:rsidP="00105858">
      <w:pPr>
        <w:spacing w:after="0" w:line="240" w:lineRule="auto"/>
      </w:pPr>
      <w:r>
        <w:separator/>
      </w:r>
    </w:p>
  </w:footnote>
  <w:footnote w:type="continuationSeparator" w:id="0">
    <w:p w14:paraId="2ADEC339" w14:textId="77777777" w:rsidR="00020C4E" w:rsidRDefault="00020C4E" w:rsidP="0010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B007A"/>
    <w:multiLevelType w:val="multilevel"/>
    <w:tmpl w:val="E8687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2366FE"/>
    <w:multiLevelType w:val="multilevel"/>
    <w:tmpl w:val="F71C7392"/>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7225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53652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8"/>
    <w:rsid w:val="00020C4E"/>
    <w:rsid w:val="00105858"/>
    <w:rsid w:val="002F6125"/>
    <w:rsid w:val="00671E00"/>
    <w:rsid w:val="007B24E9"/>
    <w:rsid w:val="008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4730F"/>
  <w14:defaultImageDpi w14:val="32767"/>
  <w15:chartTrackingRefBased/>
  <w15:docId w15:val="{49627C85-CB64-47D4-A5C2-6F837ABD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05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05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0585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0585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0585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0585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0585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0585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0585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0585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0585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0585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0585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0585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0585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0585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0585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0585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05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0585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0585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0585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0585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05858"/>
    <w:rPr>
      <w:i/>
      <w:iCs/>
      <w:color w:val="404040" w:themeColor="text1" w:themeTint="BF"/>
    </w:rPr>
  </w:style>
  <w:style w:type="paragraph" w:styleId="Sraopastraipa">
    <w:name w:val="List Paragraph"/>
    <w:basedOn w:val="prastasis"/>
    <w:uiPriority w:val="34"/>
    <w:qFormat/>
    <w:rsid w:val="00105858"/>
    <w:pPr>
      <w:ind w:left="720"/>
      <w:contextualSpacing/>
    </w:pPr>
  </w:style>
  <w:style w:type="character" w:styleId="Rykuspabraukimas">
    <w:name w:val="Intense Emphasis"/>
    <w:basedOn w:val="Numatytasispastraiposriftas"/>
    <w:uiPriority w:val="21"/>
    <w:qFormat/>
    <w:rsid w:val="00105858"/>
    <w:rPr>
      <w:i/>
      <w:iCs/>
      <w:color w:val="0F4761" w:themeColor="accent1" w:themeShade="BF"/>
    </w:rPr>
  </w:style>
  <w:style w:type="paragraph" w:styleId="Iskirtacitata">
    <w:name w:val="Intense Quote"/>
    <w:basedOn w:val="prastasis"/>
    <w:next w:val="prastasis"/>
    <w:link w:val="IskirtacitataDiagrama"/>
    <w:uiPriority w:val="30"/>
    <w:qFormat/>
    <w:rsid w:val="00105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05858"/>
    <w:rPr>
      <w:i/>
      <w:iCs/>
      <w:color w:val="0F4761" w:themeColor="accent1" w:themeShade="BF"/>
    </w:rPr>
  </w:style>
  <w:style w:type="character" w:styleId="Rykinuoroda">
    <w:name w:val="Intense Reference"/>
    <w:basedOn w:val="Numatytasispastraiposriftas"/>
    <w:uiPriority w:val="32"/>
    <w:qFormat/>
    <w:rsid w:val="00105858"/>
    <w:rPr>
      <w:b/>
      <w:bCs/>
      <w:smallCaps/>
      <w:color w:val="0F4761" w:themeColor="accent1" w:themeShade="BF"/>
      <w:spacing w:val="5"/>
    </w:rPr>
  </w:style>
  <w:style w:type="paragraph" w:styleId="Antrats">
    <w:name w:val="header"/>
    <w:basedOn w:val="prastasis"/>
    <w:link w:val="AntratsDiagrama"/>
    <w:uiPriority w:val="99"/>
    <w:unhideWhenUsed/>
    <w:rsid w:val="00105858"/>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105858"/>
  </w:style>
  <w:style w:type="paragraph" w:styleId="Porat">
    <w:name w:val="footer"/>
    <w:basedOn w:val="prastasis"/>
    <w:link w:val="PoratDiagrama"/>
    <w:uiPriority w:val="99"/>
    <w:unhideWhenUsed/>
    <w:rsid w:val="00105858"/>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10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763</Words>
  <Characters>5195</Characters>
  <Application>Microsoft Office Word</Application>
  <DocSecurity>0</DocSecurity>
  <Lines>85</Lines>
  <Paragraphs>32</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Gurčytė</dc:creator>
  <cp:keywords/>
  <dc:description/>
  <cp:lastModifiedBy>Rasa Gurčytė</cp:lastModifiedBy>
  <cp:revision>2</cp:revision>
  <dcterms:created xsi:type="dcterms:W3CDTF">2024-12-20T09:08:00Z</dcterms:created>
  <dcterms:modified xsi:type="dcterms:W3CDTF">2024-12-20T09:13:00Z</dcterms:modified>
</cp:coreProperties>
</file>