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B4C0C" w14:textId="756A07A6" w:rsidR="00DF0133" w:rsidRPr="006F1C6F" w:rsidRDefault="00DF0133" w:rsidP="006F1C6F">
      <w:pPr>
        <w:suppressAutoHyphens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  <w:r w:rsidRPr="006F1C6F">
        <w:rPr>
          <w:rFonts w:ascii="Helvetica" w:hAnsi="Helvetica" w:cs="Arial"/>
          <w:bCs/>
          <w:color w:val="000000"/>
          <w:szCs w:val="22"/>
          <w:lang w:val="lt-LT"/>
        </w:rPr>
        <w:t xml:space="preserve">1. </w:t>
      </w:r>
      <w:r w:rsidRPr="006F1C6F">
        <w:rPr>
          <w:rFonts w:ascii="Helvetica" w:hAnsi="Helvetica" w:cs="Arial"/>
          <w:szCs w:val="22"/>
          <w:lang w:val="lt-LT"/>
        </w:rPr>
        <w:t xml:space="preserve">Farmacinė kompozicija, apimanti </w:t>
      </w:r>
      <w:proofErr w:type="spellStart"/>
      <w:r w:rsidRPr="006F1C6F">
        <w:rPr>
          <w:rFonts w:ascii="Helvetica" w:hAnsi="Helvetica" w:cs="Arial"/>
          <w:szCs w:val="22"/>
          <w:lang w:val="lt-LT"/>
        </w:rPr>
        <w:t>tirzepatidą</w:t>
      </w:r>
      <w:proofErr w:type="spellEnd"/>
      <w:r w:rsidRPr="006F1C6F">
        <w:rPr>
          <w:rFonts w:ascii="Helvetica" w:hAnsi="Helvetica" w:cs="Arial"/>
          <w:szCs w:val="22"/>
          <w:lang w:val="lt-LT"/>
        </w:rPr>
        <w:t xml:space="preserve"> arba jo farmaciniu požiūriu priimtiną druską, NaCl ir </w:t>
      </w:r>
      <w:proofErr w:type="spellStart"/>
      <w:r w:rsidRPr="006F1C6F">
        <w:rPr>
          <w:rFonts w:ascii="Helvetica" w:hAnsi="Helvetica" w:cs="Arial"/>
          <w:szCs w:val="22"/>
          <w:lang w:val="lt-LT"/>
        </w:rPr>
        <w:t>dvibazį</w:t>
      </w:r>
      <w:proofErr w:type="spellEnd"/>
      <w:r w:rsidRPr="006F1C6F">
        <w:rPr>
          <w:rFonts w:ascii="Helvetica" w:hAnsi="Helvetica" w:cs="Arial"/>
          <w:szCs w:val="22"/>
          <w:lang w:val="lt-LT"/>
        </w:rPr>
        <w:t xml:space="preserve"> natrio fosfatą. </w:t>
      </w:r>
    </w:p>
    <w:p w14:paraId="047A782E" w14:textId="77777777" w:rsidR="006F1C6F" w:rsidRPr="006F1C6F" w:rsidRDefault="006F1C6F" w:rsidP="006F1C6F">
      <w:pPr>
        <w:suppressAutoHyphens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</w:p>
    <w:p w14:paraId="3E7B4C0D" w14:textId="77777777" w:rsidR="00DF0133" w:rsidRPr="006F1C6F" w:rsidRDefault="00DF0133" w:rsidP="006F1C6F">
      <w:pPr>
        <w:suppressAutoHyphens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  <w:r w:rsidRPr="006F1C6F">
        <w:rPr>
          <w:rFonts w:ascii="Helvetica" w:hAnsi="Helvetica" w:cs="Arial"/>
          <w:szCs w:val="22"/>
          <w:lang w:val="lt-LT"/>
        </w:rPr>
        <w:t xml:space="preserve">2. Farmacinė kompozicija pagal 1 punktą, kur </w:t>
      </w:r>
      <w:proofErr w:type="spellStart"/>
      <w:r w:rsidRPr="006F1C6F">
        <w:rPr>
          <w:rFonts w:ascii="Helvetica" w:hAnsi="Helvetica" w:cs="Arial"/>
          <w:szCs w:val="22"/>
          <w:lang w:val="lt-LT"/>
        </w:rPr>
        <w:t>tirzepatido</w:t>
      </w:r>
      <w:proofErr w:type="spellEnd"/>
      <w:r w:rsidRPr="006F1C6F">
        <w:rPr>
          <w:rFonts w:ascii="Helvetica" w:hAnsi="Helvetica" w:cs="Arial"/>
          <w:szCs w:val="22"/>
          <w:lang w:val="lt-LT"/>
        </w:rPr>
        <w:t xml:space="preserve"> arba jo farmaciniu požiūriu priimtinos druskos koncentracija sudaro nuo apie 5 iki apie 30 mg/ml. </w:t>
      </w:r>
    </w:p>
    <w:p w14:paraId="5096A932" w14:textId="77777777" w:rsidR="006F1C6F" w:rsidRPr="006F1C6F" w:rsidRDefault="006F1C6F" w:rsidP="006F1C6F">
      <w:pPr>
        <w:suppressAutoHyphens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</w:p>
    <w:p w14:paraId="3E7B4C0E" w14:textId="77777777" w:rsidR="00DF0133" w:rsidRPr="006F1C6F" w:rsidRDefault="00DF0133" w:rsidP="006F1C6F">
      <w:pPr>
        <w:suppressAutoHyphens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  <w:r w:rsidRPr="006F1C6F">
        <w:rPr>
          <w:rFonts w:ascii="Helvetica" w:hAnsi="Helvetica" w:cs="Arial"/>
          <w:szCs w:val="22"/>
          <w:lang w:val="lt-LT"/>
        </w:rPr>
        <w:t xml:space="preserve">3. Farmacinė kompozicija pagal 2 punktą, kur </w:t>
      </w:r>
      <w:proofErr w:type="spellStart"/>
      <w:r w:rsidRPr="006F1C6F">
        <w:rPr>
          <w:rFonts w:ascii="Helvetica" w:hAnsi="Helvetica" w:cs="Arial"/>
          <w:szCs w:val="22"/>
          <w:lang w:val="lt-LT"/>
        </w:rPr>
        <w:t>tirzepatido</w:t>
      </w:r>
      <w:proofErr w:type="spellEnd"/>
      <w:r w:rsidRPr="006F1C6F">
        <w:rPr>
          <w:rFonts w:ascii="Helvetica" w:hAnsi="Helvetica" w:cs="Arial"/>
          <w:szCs w:val="22"/>
          <w:lang w:val="lt-LT"/>
        </w:rPr>
        <w:t xml:space="preserve"> arba jo farmaciniu požiūriu priimtinos druskos koncentracija sudaro 5, 10, 15, 20, 25 arba 30 mg/ml. </w:t>
      </w:r>
    </w:p>
    <w:p w14:paraId="1205F935" w14:textId="77777777" w:rsidR="006F1C6F" w:rsidRPr="006F1C6F" w:rsidRDefault="006F1C6F" w:rsidP="006F1C6F">
      <w:pPr>
        <w:suppressAutoHyphens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</w:p>
    <w:p w14:paraId="3E7B4C0F" w14:textId="77777777" w:rsidR="00DF0133" w:rsidRPr="006F1C6F" w:rsidRDefault="00DF0133" w:rsidP="006F1C6F">
      <w:pPr>
        <w:suppressAutoHyphens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  <w:r w:rsidRPr="006F1C6F">
        <w:rPr>
          <w:rFonts w:ascii="Helvetica" w:hAnsi="Helvetica" w:cs="Arial"/>
          <w:szCs w:val="22"/>
          <w:lang w:val="lt-LT"/>
        </w:rPr>
        <w:t xml:space="preserve">4. Farmacinė kompozicija pagal 3 punktą, kur </w:t>
      </w:r>
      <w:proofErr w:type="spellStart"/>
      <w:r w:rsidRPr="006F1C6F">
        <w:rPr>
          <w:rFonts w:ascii="Helvetica" w:hAnsi="Helvetica" w:cs="Arial"/>
          <w:szCs w:val="22"/>
          <w:lang w:val="lt-LT"/>
        </w:rPr>
        <w:t>tirzepatido</w:t>
      </w:r>
      <w:proofErr w:type="spellEnd"/>
      <w:r w:rsidRPr="006F1C6F">
        <w:rPr>
          <w:rFonts w:ascii="Helvetica" w:hAnsi="Helvetica" w:cs="Arial"/>
          <w:szCs w:val="22"/>
          <w:lang w:val="lt-LT"/>
        </w:rPr>
        <w:t xml:space="preserve"> arba jo farmaciniu požiūriu priimtinos druskos koncentracija sudaro 10, 20 arba 30 mg/ml. </w:t>
      </w:r>
    </w:p>
    <w:p w14:paraId="57F63312" w14:textId="77777777" w:rsidR="006F1C6F" w:rsidRPr="006F1C6F" w:rsidRDefault="006F1C6F" w:rsidP="006F1C6F">
      <w:pPr>
        <w:suppressAutoHyphens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</w:p>
    <w:p w14:paraId="3E7B4C10" w14:textId="77777777" w:rsidR="00DF0133" w:rsidRPr="006F1C6F" w:rsidRDefault="00DF0133" w:rsidP="006F1C6F">
      <w:pPr>
        <w:suppressAutoHyphens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  <w:r w:rsidRPr="006F1C6F">
        <w:rPr>
          <w:rFonts w:ascii="Helvetica" w:hAnsi="Helvetica" w:cs="Arial"/>
          <w:szCs w:val="22"/>
          <w:lang w:val="lt-LT"/>
        </w:rPr>
        <w:t xml:space="preserve">5. Farmacinė kompozicija pagal 1 punktą, kur </w:t>
      </w:r>
      <w:proofErr w:type="spellStart"/>
      <w:r w:rsidRPr="006F1C6F">
        <w:rPr>
          <w:rFonts w:ascii="Helvetica" w:hAnsi="Helvetica" w:cs="Arial"/>
          <w:szCs w:val="22"/>
          <w:lang w:val="lt-LT"/>
        </w:rPr>
        <w:t>dvibazio</w:t>
      </w:r>
      <w:proofErr w:type="spellEnd"/>
      <w:r w:rsidRPr="006F1C6F">
        <w:rPr>
          <w:rFonts w:ascii="Helvetica" w:hAnsi="Helvetica" w:cs="Arial"/>
          <w:szCs w:val="22"/>
          <w:lang w:val="lt-LT"/>
        </w:rPr>
        <w:t xml:space="preserve"> natrio fosfato koncentracija sudaro nuo apie 1,0 mg/ml iki apie 3,0 mg/ml. </w:t>
      </w:r>
    </w:p>
    <w:p w14:paraId="218F2A1E" w14:textId="77777777" w:rsidR="006F1C6F" w:rsidRPr="006F1C6F" w:rsidRDefault="006F1C6F" w:rsidP="006F1C6F">
      <w:pPr>
        <w:suppressAutoHyphens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</w:p>
    <w:p w14:paraId="3E7B4C11" w14:textId="77777777" w:rsidR="00DF0133" w:rsidRPr="006F1C6F" w:rsidRDefault="00DF0133" w:rsidP="006F1C6F">
      <w:pPr>
        <w:suppressAutoHyphens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  <w:r w:rsidRPr="006F1C6F">
        <w:rPr>
          <w:rFonts w:ascii="Helvetica" w:hAnsi="Helvetica" w:cs="Arial"/>
          <w:szCs w:val="22"/>
          <w:lang w:val="lt-LT"/>
        </w:rPr>
        <w:t xml:space="preserve">6. Farmacinė kompozicija pagal 1 punktą, kur </w:t>
      </w:r>
      <w:proofErr w:type="spellStart"/>
      <w:r w:rsidRPr="006F1C6F">
        <w:rPr>
          <w:rFonts w:ascii="Helvetica" w:hAnsi="Helvetica" w:cs="Arial"/>
          <w:szCs w:val="22"/>
          <w:lang w:val="lt-LT"/>
        </w:rPr>
        <w:t>dvibazio</w:t>
      </w:r>
      <w:proofErr w:type="spellEnd"/>
      <w:r w:rsidRPr="006F1C6F">
        <w:rPr>
          <w:rFonts w:ascii="Helvetica" w:hAnsi="Helvetica" w:cs="Arial"/>
          <w:szCs w:val="22"/>
          <w:lang w:val="lt-LT"/>
        </w:rPr>
        <w:t xml:space="preserve"> natrio fosfato koncentracija sudaro nuo apie 0,67 mg/ml iki apie 2,68 mg/ml. </w:t>
      </w:r>
    </w:p>
    <w:p w14:paraId="607809CD" w14:textId="77777777" w:rsidR="006F1C6F" w:rsidRPr="006F1C6F" w:rsidRDefault="006F1C6F" w:rsidP="006F1C6F">
      <w:pPr>
        <w:suppressAutoHyphens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</w:p>
    <w:p w14:paraId="3E7B4C12" w14:textId="77777777" w:rsidR="00DF0133" w:rsidRPr="006F1C6F" w:rsidRDefault="00DF0133" w:rsidP="006F1C6F">
      <w:pPr>
        <w:suppressAutoHyphens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  <w:r w:rsidRPr="006F1C6F">
        <w:rPr>
          <w:rFonts w:ascii="Helvetica" w:hAnsi="Helvetica" w:cs="Arial"/>
          <w:szCs w:val="22"/>
          <w:lang w:val="lt-LT"/>
        </w:rPr>
        <w:t xml:space="preserve">7. Farmacinė kompozicija pagal 5 arba 6 punktą, kur </w:t>
      </w:r>
      <w:proofErr w:type="spellStart"/>
      <w:r w:rsidRPr="006F1C6F">
        <w:rPr>
          <w:rFonts w:ascii="Helvetica" w:hAnsi="Helvetica" w:cs="Arial"/>
          <w:szCs w:val="22"/>
          <w:lang w:val="lt-LT"/>
        </w:rPr>
        <w:t>dvibazio</w:t>
      </w:r>
      <w:proofErr w:type="spellEnd"/>
      <w:r w:rsidRPr="006F1C6F">
        <w:rPr>
          <w:rFonts w:ascii="Helvetica" w:hAnsi="Helvetica" w:cs="Arial"/>
          <w:szCs w:val="22"/>
          <w:lang w:val="lt-LT"/>
        </w:rPr>
        <w:t xml:space="preserve"> natrio fosfato koncentracija sudaro apie 1,34 mg/ml. </w:t>
      </w:r>
    </w:p>
    <w:p w14:paraId="09C13898" w14:textId="77777777" w:rsidR="006F1C6F" w:rsidRPr="006F1C6F" w:rsidRDefault="006F1C6F" w:rsidP="006F1C6F">
      <w:pPr>
        <w:suppressAutoHyphens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</w:p>
    <w:p w14:paraId="3E7B4C13" w14:textId="77777777" w:rsidR="00DF0133" w:rsidRPr="006F1C6F" w:rsidRDefault="00DF0133" w:rsidP="006F1C6F">
      <w:pPr>
        <w:suppressAutoHyphens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  <w:r w:rsidRPr="006F1C6F">
        <w:rPr>
          <w:rFonts w:ascii="Helvetica" w:hAnsi="Helvetica" w:cs="Arial"/>
          <w:szCs w:val="22"/>
          <w:lang w:val="lt-LT"/>
        </w:rPr>
        <w:t xml:space="preserve">8. Farmacinė kompozicija pagal 1 punktą, kur NaCl koncentracija sudaro nuo apie 6,2 mg/ml iki apie 9,5 mg/ml. </w:t>
      </w:r>
    </w:p>
    <w:p w14:paraId="5330BCF4" w14:textId="77777777" w:rsidR="006F1C6F" w:rsidRPr="006F1C6F" w:rsidRDefault="006F1C6F" w:rsidP="006F1C6F">
      <w:pPr>
        <w:suppressAutoHyphens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</w:p>
    <w:p w14:paraId="705AA3E5" w14:textId="77777777" w:rsidR="004D124C" w:rsidRDefault="00DF0133" w:rsidP="004D124C">
      <w:pPr>
        <w:suppressAutoHyphens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  <w:r w:rsidRPr="006F1C6F">
        <w:rPr>
          <w:rFonts w:ascii="Helvetica" w:hAnsi="Helvetica" w:cs="Arial"/>
          <w:szCs w:val="22"/>
          <w:lang w:val="lt-LT"/>
        </w:rPr>
        <w:t xml:space="preserve">9. Farmacinė kompozicija pagal 8 punktą, kur NaCl koncentracija sudaro apie 8,2 mg/ml. </w:t>
      </w:r>
    </w:p>
    <w:p w14:paraId="40043A2A" w14:textId="77777777" w:rsidR="004D124C" w:rsidRDefault="004D124C" w:rsidP="004D124C">
      <w:pPr>
        <w:suppressAutoHyphens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</w:p>
    <w:p w14:paraId="3E7B4C15" w14:textId="604E89AA" w:rsidR="00DF0133" w:rsidRPr="006F1C6F" w:rsidRDefault="00DF0133" w:rsidP="004D124C">
      <w:pPr>
        <w:suppressAutoHyphens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  <w:r w:rsidRPr="006F1C6F">
        <w:rPr>
          <w:rFonts w:ascii="Helvetica" w:hAnsi="Helvetica" w:cs="Arial"/>
          <w:szCs w:val="22"/>
          <w:lang w:val="lt-LT"/>
        </w:rPr>
        <w:t xml:space="preserve">10. Farmacinė kompozicija pagal 1 punktą, kur </w:t>
      </w:r>
      <w:proofErr w:type="spellStart"/>
      <w:r w:rsidRPr="006F1C6F">
        <w:rPr>
          <w:rFonts w:ascii="Helvetica" w:hAnsi="Helvetica" w:cs="Arial"/>
          <w:szCs w:val="22"/>
          <w:lang w:val="lt-LT"/>
        </w:rPr>
        <w:t>tirzepatido</w:t>
      </w:r>
      <w:proofErr w:type="spellEnd"/>
      <w:r w:rsidR="006F1C6F" w:rsidRPr="006F1C6F">
        <w:rPr>
          <w:rFonts w:ascii="Helvetica" w:hAnsi="Helvetica" w:cs="Arial"/>
          <w:szCs w:val="22"/>
          <w:lang w:val="lt-LT"/>
        </w:rPr>
        <w:t xml:space="preserve"> </w:t>
      </w:r>
      <w:r w:rsidRPr="006F1C6F">
        <w:rPr>
          <w:rFonts w:ascii="Helvetica" w:hAnsi="Helvetica" w:cs="Arial"/>
          <w:szCs w:val="22"/>
          <w:lang w:val="lt-LT"/>
        </w:rPr>
        <w:t xml:space="preserve">arba jo farmaciniu požiūriu priimtinos druskos koncentracija sudaro nuo apie 5 mg/ml iki apie 30 mg/ml; </w:t>
      </w:r>
      <w:proofErr w:type="spellStart"/>
      <w:r w:rsidRPr="006F1C6F">
        <w:rPr>
          <w:rFonts w:ascii="Helvetica" w:hAnsi="Helvetica" w:cs="Arial"/>
          <w:szCs w:val="22"/>
          <w:lang w:val="lt-LT"/>
        </w:rPr>
        <w:t>dvibazio</w:t>
      </w:r>
      <w:proofErr w:type="spellEnd"/>
      <w:r w:rsidRPr="006F1C6F">
        <w:rPr>
          <w:rFonts w:ascii="Helvetica" w:hAnsi="Helvetica" w:cs="Arial"/>
          <w:szCs w:val="22"/>
          <w:lang w:val="lt-LT"/>
        </w:rPr>
        <w:t xml:space="preserve"> natrio fosfato koncentracija sudaro nuo apie 0,67 mg/ml iki apie 2,68 mg/ml, ir NaCl koncentracija sudaro nuo apie 6,2 mg/ml iki apie 9,5 mg/ml. </w:t>
      </w:r>
    </w:p>
    <w:p w14:paraId="64F1FAEB" w14:textId="77777777" w:rsidR="006F1C6F" w:rsidRPr="006F1C6F" w:rsidRDefault="006F1C6F" w:rsidP="006F1C6F">
      <w:pPr>
        <w:suppressAutoHyphens w:val="0"/>
        <w:spacing w:line="360" w:lineRule="auto"/>
        <w:jc w:val="both"/>
        <w:rPr>
          <w:rFonts w:ascii="Helvetica" w:hAnsi="Helvetica" w:cs="Arial"/>
          <w:szCs w:val="22"/>
          <w:lang w:val="lt-LT"/>
        </w:rPr>
      </w:pPr>
    </w:p>
    <w:p w14:paraId="3E7B4C16" w14:textId="77777777" w:rsidR="00DF0133" w:rsidRPr="006F1C6F" w:rsidRDefault="00DF0133" w:rsidP="006F1C6F">
      <w:pPr>
        <w:suppressAutoHyphens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  <w:r w:rsidRPr="006F1C6F">
        <w:rPr>
          <w:rFonts w:ascii="Helvetica" w:hAnsi="Helvetica" w:cs="Arial"/>
          <w:szCs w:val="22"/>
          <w:lang w:val="lt-LT"/>
        </w:rPr>
        <w:t xml:space="preserve">11. Farmacinė kompozicija pagal 10 punktą, kur </w:t>
      </w:r>
      <w:proofErr w:type="spellStart"/>
      <w:r w:rsidRPr="006F1C6F">
        <w:rPr>
          <w:rFonts w:ascii="Helvetica" w:hAnsi="Helvetica" w:cs="Arial"/>
          <w:szCs w:val="22"/>
          <w:lang w:val="lt-LT"/>
        </w:rPr>
        <w:t>dvibazio</w:t>
      </w:r>
      <w:proofErr w:type="spellEnd"/>
      <w:r w:rsidRPr="006F1C6F">
        <w:rPr>
          <w:rFonts w:ascii="Helvetica" w:hAnsi="Helvetica" w:cs="Arial"/>
          <w:szCs w:val="22"/>
          <w:lang w:val="lt-LT"/>
        </w:rPr>
        <w:t xml:space="preserve"> natrio fosfato koncentracija sudaro apie 1,34 mg/ml ir NaCl koncentracija sudaro apie 8,2 mg/ml. </w:t>
      </w:r>
    </w:p>
    <w:p w14:paraId="0ED0BB90" w14:textId="77777777" w:rsidR="006F1C6F" w:rsidRPr="006F1C6F" w:rsidRDefault="006F1C6F" w:rsidP="006F1C6F">
      <w:pPr>
        <w:suppressAutoHyphens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</w:p>
    <w:p w14:paraId="5573767F" w14:textId="77777777" w:rsidR="004D124C" w:rsidRDefault="00DF0133" w:rsidP="004D124C">
      <w:pPr>
        <w:suppressAutoHyphens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  <w:r w:rsidRPr="006F1C6F">
        <w:rPr>
          <w:rFonts w:ascii="Helvetica" w:hAnsi="Helvetica" w:cs="Arial"/>
          <w:szCs w:val="22"/>
          <w:lang w:val="lt-LT"/>
        </w:rPr>
        <w:t xml:space="preserve">12. Farmacinė kompozicija pagal 11 punktą, kur kompozicija pateikta automatiniame injekcijų aparate. </w:t>
      </w:r>
    </w:p>
    <w:p w14:paraId="1270FA4B" w14:textId="77777777" w:rsidR="004D124C" w:rsidRDefault="004D124C" w:rsidP="004D124C">
      <w:pPr>
        <w:suppressAutoHyphens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</w:p>
    <w:p w14:paraId="3E7B4C18" w14:textId="3CBFD1BB" w:rsidR="00DF0133" w:rsidRDefault="00DF0133" w:rsidP="00073EF1">
      <w:pPr>
        <w:suppressAutoHyphens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  <w:r w:rsidRPr="006F1C6F">
        <w:rPr>
          <w:rFonts w:ascii="Helvetica" w:hAnsi="Helvetica" w:cs="Arial"/>
          <w:szCs w:val="22"/>
          <w:lang w:val="lt-LT"/>
        </w:rPr>
        <w:t>13. Farmacinė kompozicija pagal bet kurį vieną iš 1 – 12 punktų, kur kompozicijos</w:t>
      </w:r>
      <w:r w:rsidR="006F1C6F" w:rsidRPr="006F1C6F">
        <w:rPr>
          <w:rFonts w:ascii="Helvetica" w:hAnsi="Helvetica" w:cs="Arial"/>
          <w:szCs w:val="22"/>
          <w:lang w:val="lt-LT"/>
        </w:rPr>
        <w:t xml:space="preserve"> </w:t>
      </w:r>
      <w:r w:rsidRPr="006F1C6F">
        <w:rPr>
          <w:rFonts w:ascii="Helvetica" w:hAnsi="Helvetica" w:cs="Arial"/>
          <w:szCs w:val="22"/>
          <w:lang w:val="lt-LT"/>
        </w:rPr>
        <w:t xml:space="preserve">pH yra nuo apie 6,5 iki apie 7,5. </w:t>
      </w:r>
    </w:p>
    <w:p w14:paraId="45794278" w14:textId="77777777" w:rsidR="00073EF1" w:rsidRPr="006F1C6F" w:rsidRDefault="00073EF1" w:rsidP="00073EF1">
      <w:pPr>
        <w:suppressAutoHyphens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</w:p>
    <w:p w14:paraId="3E7B4C19" w14:textId="77777777" w:rsidR="00DF0133" w:rsidRPr="006F1C6F" w:rsidRDefault="00DF0133" w:rsidP="006F1C6F">
      <w:pPr>
        <w:suppressAutoHyphens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  <w:r w:rsidRPr="006F1C6F">
        <w:rPr>
          <w:rFonts w:ascii="Helvetica" w:hAnsi="Helvetica" w:cs="Arial"/>
          <w:szCs w:val="22"/>
          <w:lang w:val="lt-LT"/>
        </w:rPr>
        <w:t xml:space="preserve">14. Farmacinė kompozicija pagal bet kurį vieną iš 1 – 13 punktų, papildomai apimanti vieną arba daugiau konservantų. </w:t>
      </w:r>
    </w:p>
    <w:p w14:paraId="68672F6D" w14:textId="77777777" w:rsidR="006F1C6F" w:rsidRPr="006F1C6F" w:rsidRDefault="006F1C6F" w:rsidP="006F1C6F">
      <w:pPr>
        <w:suppressAutoHyphens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</w:p>
    <w:p w14:paraId="3E7B4C1A" w14:textId="77777777" w:rsidR="00DF0133" w:rsidRPr="006F1C6F" w:rsidRDefault="00DF0133" w:rsidP="006F1C6F">
      <w:pPr>
        <w:suppressAutoHyphens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  <w:r w:rsidRPr="006F1C6F">
        <w:rPr>
          <w:rFonts w:ascii="Helvetica" w:hAnsi="Helvetica" w:cs="Arial"/>
          <w:szCs w:val="22"/>
          <w:lang w:val="lt-LT"/>
        </w:rPr>
        <w:t xml:space="preserve">15. Farmacinė kompozicija pagal 14 punktą, kur kompozicija papildomai apima konservantą, pasirinktą iš </w:t>
      </w:r>
      <w:proofErr w:type="spellStart"/>
      <w:r w:rsidRPr="006F1C6F">
        <w:rPr>
          <w:rFonts w:ascii="Helvetica" w:hAnsi="Helvetica" w:cs="Arial"/>
          <w:szCs w:val="22"/>
          <w:lang w:val="lt-LT"/>
        </w:rPr>
        <w:t>metakrezolio</w:t>
      </w:r>
      <w:proofErr w:type="spellEnd"/>
      <w:r w:rsidRPr="006F1C6F">
        <w:rPr>
          <w:rFonts w:ascii="Helvetica" w:hAnsi="Helvetica" w:cs="Arial"/>
          <w:szCs w:val="22"/>
          <w:lang w:val="lt-LT"/>
        </w:rPr>
        <w:t xml:space="preserve"> ir </w:t>
      </w:r>
      <w:proofErr w:type="spellStart"/>
      <w:r w:rsidRPr="006F1C6F">
        <w:rPr>
          <w:rFonts w:ascii="Helvetica" w:hAnsi="Helvetica" w:cs="Arial"/>
          <w:szCs w:val="22"/>
          <w:lang w:val="lt-LT"/>
        </w:rPr>
        <w:t>fenolio</w:t>
      </w:r>
      <w:proofErr w:type="spellEnd"/>
      <w:r w:rsidRPr="006F1C6F">
        <w:rPr>
          <w:rFonts w:ascii="Helvetica" w:hAnsi="Helvetica" w:cs="Arial"/>
          <w:szCs w:val="22"/>
          <w:lang w:val="lt-LT"/>
        </w:rPr>
        <w:t xml:space="preserve">. </w:t>
      </w:r>
    </w:p>
    <w:p w14:paraId="01B35100" w14:textId="77777777" w:rsidR="006F1C6F" w:rsidRPr="006F1C6F" w:rsidRDefault="006F1C6F" w:rsidP="006F1C6F">
      <w:pPr>
        <w:suppressAutoHyphens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</w:p>
    <w:p w14:paraId="3E7B4C1B" w14:textId="77777777" w:rsidR="00DF0133" w:rsidRPr="006F1C6F" w:rsidRDefault="00DF0133" w:rsidP="006F1C6F">
      <w:pPr>
        <w:suppressAutoHyphens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  <w:r w:rsidRPr="006F1C6F">
        <w:rPr>
          <w:rFonts w:ascii="Helvetica" w:hAnsi="Helvetica" w:cs="Arial"/>
          <w:szCs w:val="22"/>
          <w:lang w:val="lt-LT"/>
        </w:rPr>
        <w:lastRenderedPageBreak/>
        <w:t xml:space="preserve">16. Farmacinė kompozicija pagal 15 punktą, kur konservantas yra </w:t>
      </w:r>
      <w:proofErr w:type="spellStart"/>
      <w:r w:rsidRPr="006F1C6F">
        <w:rPr>
          <w:rFonts w:ascii="Helvetica" w:hAnsi="Helvetica" w:cs="Arial"/>
          <w:szCs w:val="22"/>
          <w:lang w:val="lt-LT"/>
        </w:rPr>
        <w:t>metakrezolis</w:t>
      </w:r>
      <w:proofErr w:type="spellEnd"/>
      <w:r w:rsidRPr="006F1C6F">
        <w:rPr>
          <w:rFonts w:ascii="Helvetica" w:hAnsi="Helvetica" w:cs="Arial"/>
          <w:szCs w:val="22"/>
          <w:lang w:val="lt-LT"/>
        </w:rPr>
        <w:t xml:space="preserve">, kurio koncentracija sudaro nuo apie 2,0 mg/ml iki apie 4,0 mg/ml. </w:t>
      </w:r>
    </w:p>
    <w:p w14:paraId="7A052D0F" w14:textId="77777777" w:rsidR="006F1C6F" w:rsidRPr="006F1C6F" w:rsidRDefault="006F1C6F" w:rsidP="006F1C6F">
      <w:pPr>
        <w:suppressAutoHyphens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</w:p>
    <w:p w14:paraId="3E7B4C1C" w14:textId="77777777" w:rsidR="00DF0133" w:rsidRPr="006F1C6F" w:rsidRDefault="00DF0133" w:rsidP="006F1C6F">
      <w:pPr>
        <w:suppressAutoHyphens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  <w:r w:rsidRPr="006F1C6F">
        <w:rPr>
          <w:rFonts w:ascii="Helvetica" w:hAnsi="Helvetica" w:cs="Arial"/>
          <w:szCs w:val="22"/>
          <w:lang w:val="lt-LT"/>
        </w:rPr>
        <w:t xml:space="preserve">17. Farmacinė kompozicija pagal 15 punktą, kur konservantas yra </w:t>
      </w:r>
      <w:proofErr w:type="spellStart"/>
      <w:r w:rsidRPr="006F1C6F">
        <w:rPr>
          <w:rFonts w:ascii="Helvetica" w:hAnsi="Helvetica" w:cs="Arial"/>
          <w:szCs w:val="22"/>
          <w:lang w:val="lt-LT"/>
        </w:rPr>
        <w:t>fenolis</w:t>
      </w:r>
      <w:proofErr w:type="spellEnd"/>
      <w:r w:rsidRPr="006F1C6F">
        <w:rPr>
          <w:rFonts w:ascii="Helvetica" w:hAnsi="Helvetica" w:cs="Arial"/>
          <w:szCs w:val="22"/>
          <w:lang w:val="lt-LT"/>
        </w:rPr>
        <w:t xml:space="preserve">, kurio koncentracija sudaro nuo apie 3,0 mg/ml iki apie 7,0 mg/ml. </w:t>
      </w:r>
    </w:p>
    <w:p w14:paraId="656FFA8E" w14:textId="77777777" w:rsidR="006F1C6F" w:rsidRPr="006F1C6F" w:rsidRDefault="006F1C6F" w:rsidP="006F1C6F">
      <w:pPr>
        <w:suppressAutoHyphens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</w:p>
    <w:p w14:paraId="3E7B4C1D" w14:textId="77777777" w:rsidR="00DF0133" w:rsidRPr="006F1C6F" w:rsidRDefault="00DF0133" w:rsidP="006F1C6F">
      <w:pPr>
        <w:suppressAutoHyphens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  <w:r w:rsidRPr="006F1C6F">
        <w:rPr>
          <w:rFonts w:ascii="Helvetica" w:hAnsi="Helvetica" w:cs="Arial"/>
          <w:szCs w:val="22"/>
          <w:lang w:val="lt-LT"/>
        </w:rPr>
        <w:t xml:space="preserve">18. Farmacinė kompozicija pagal bet kurį vieną iš 1 – 17 punktų, skirta naudoti diabeto gydymui. </w:t>
      </w:r>
    </w:p>
    <w:p w14:paraId="60A0EED7" w14:textId="77777777" w:rsidR="006F1C6F" w:rsidRPr="006F1C6F" w:rsidRDefault="006F1C6F" w:rsidP="006F1C6F">
      <w:pPr>
        <w:suppressAutoHyphens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</w:p>
    <w:p w14:paraId="3E7B4C1E" w14:textId="77777777" w:rsidR="00DF0133" w:rsidRPr="006F1C6F" w:rsidRDefault="00DF0133" w:rsidP="006F1C6F">
      <w:pPr>
        <w:suppressAutoHyphens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  <w:r w:rsidRPr="006F1C6F">
        <w:rPr>
          <w:rFonts w:ascii="Helvetica" w:hAnsi="Helvetica" w:cs="Arial"/>
          <w:szCs w:val="22"/>
          <w:lang w:val="lt-LT"/>
        </w:rPr>
        <w:t>19. Farmacinė kompozicija pagal bet kurį vieną iš 1 – 17 punktų, skirta naudoti nutukimo gydymui.</w:t>
      </w:r>
    </w:p>
    <w:sectPr w:rsidR="00DF0133" w:rsidRPr="006F1C6F" w:rsidSect="006F1C6F">
      <w:headerReference w:type="even" r:id="rId7"/>
      <w:pgSz w:w="11906" w:h="16838"/>
      <w:pgMar w:top="1134" w:right="567" w:bottom="567" w:left="1701" w:header="567" w:footer="283" w:gutter="0"/>
      <w:cols w:space="1296"/>
      <w:docGrid w:linePitch="44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6A33A" w14:textId="77777777" w:rsidR="007810B2" w:rsidRDefault="007810B2">
      <w:r>
        <w:separator/>
      </w:r>
    </w:p>
  </w:endnote>
  <w:endnote w:type="continuationSeparator" w:id="0">
    <w:p w14:paraId="64D707EE" w14:textId="77777777" w:rsidR="007810B2" w:rsidRDefault="0078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font237">
    <w:charset w:val="BA"/>
    <w:family w:val="auto"/>
    <w:pitch w:val="variable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A5C42" w14:textId="77777777" w:rsidR="007810B2" w:rsidRDefault="007810B2">
      <w:r>
        <w:separator/>
      </w:r>
    </w:p>
  </w:footnote>
  <w:footnote w:type="continuationSeparator" w:id="0">
    <w:p w14:paraId="55D0BDEF" w14:textId="77777777" w:rsidR="007810B2" w:rsidRDefault="00781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B4C26" w14:textId="77777777" w:rsidR="00DF0133" w:rsidRDefault="00DF0133">
    <w:pPr>
      <w:pStyle w:val="Antrats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D8760F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96549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87E"/>
    <w:rsid w:val="00073EF1"/>
    <w:rsid w:val="000D23FC"/>
    <w:rsid w:val="00223423"/>
    <w:rsid w:val="004D124C"/>
    <w:rsid w:val="006F1C6F"/>
    <w:rsid w:val="007810B2"/>
    <w:rsid w:val="0095787E"/>
    <w:rsid w:val="00B67CFD"/>
    <w:rsid w:val="00B7513F"/>
    <w:rsid w:val="00D8760F"/>
    <w:rsid w:val="00DF0133"/>
    <w:rsid w:val="00F61D36"/>
    <w:rsid w:val="00FF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7B4C08"/>
  <w15:chartTrackingRefBased/>
  <w15:docId w15:val="{7631F1FB-7DD0-4566-B864-8549AA86B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</w:pPr>
    <w:rPr>
      <w:kern w:val="1"/>
      <w:lang w:val="en-US" w:eastAsia="ar-SA"/>
    </w:rPr>
  </w:style>
  <w:style w:type="paragraph" w:styleId="Antrat2">
    <w:name w:val="heading 2"/>
    <w:basedOn w:val="Heading"/>
    <w:next w:val="Pagrindinistekstas"/>
    <w:qFormat/>
    <w:pPr>
      <w:numPr>
        <w:ilvl w:val="1"/>
        <w:numId w:val="1"/>
      </w:numPr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-DefaultParagraphFont11111">
    <w:name w:val="WW-Default Paragraph Font11111"/>
  </w:style>
  <w:style w:type="character" w:customStyle="1" w:styleId="WW-DefaultParagraphFont111111">
    <w:name w:val="WW-Default Paragraph Font111111"/>
  </w:style>
  <w:style w:type="character" w:customStyle="1" w:styleId="WW-DefaultParagraphFont1111111">
    <w:name w:val="WW-Default Paragraph Font1111111"/>
  </w:style>
  <w:style w:type="character" w:customStyle="1" w:styleId="WW-DefaultParagraphFont11111111">
    <w:name w:val="WW-Default Paragraph Font11111111"/>
  </w:style>
  <w:style w:type="character" w:customStyle="1" w:styleId="TitleChar">
    <w:name w:val="Title Char"/>
    <w:rPr>
      <w:rFonts w:ascii="Cambria" w:hAnsi="Cambria" w:cs="font237"/>
      <w:b/>
      <w:bCs/>
      <w:kern w:val="1"/>
      <w:sz w:val="32"/>
      <w:szCs w:val="32"/>
    </w:rPr>
  </w:style>
  <w:style w:type="character" w:customStyle="1" w:styleId="BodyTextIndentChar">
    <w:name w:val="Body Text Indent Char"/>
    <w:rPr>
      <w:sz w:val="20"/>
      <w:szCs w:val="20"/>
    </w:rPr>
  </w:style>
  <w:style w:type="character" w:customStyle="1" w:styleId="HeaderChar">
    <w:name w:val="Header Char"/>
    <w:rPr>
      <w:sz w:val="20"/>
      <w:szCs w:val="20"/>
    </w:rPr>
  </w:style>
  <w:style w:type="character" w:customStyle="1" w:styleId="PageNumber1">
    <w:name w:val="Page Number1"/>
    <w:basedOn w:val="WW-DefaultParagraphFont11111111"/>
  </w:style>
  <w:style w:type="character" w:customStyle="1" w:styleId="BodyTextChar">
    <w:name w:val="Body Text Char"/>
    <w:rPr>
      <w:sz w:val="20"/>
      <w:szCs w:val="20"/>
    </w:rPr>
  </w:style>
  <w:style w:type="character" w:customStyle="1" w:styleId="LineNumber1">
    <w:name w:val="Line Number1"/>
    <w:basedOn w:val="WW-DefaultParagraphFont11111111"/>
  </w:style>
  <w:style w:type="character" w:customStyle="1" w:styleId="FooterChar">
    <w:name w:val="Footer Char"/>
    <w:rPr>
      <w:sz w:val="20"/>
      <w:szCs w:val="20"/>
    </w:rPr>
  </w:style>
  <w:style w:type="character" w:customStyle="1" w:styleId="BalloonTextChar">
    <w:name w:val="Balloon Text Char"/>
    <w:rPr>
      <w:sz w:val="0"/>
      <w:szCs w:val="0"/>
    </w:rPr>
  </w:style>
  <w:style w:type="character" w:styleId="Hipersaitas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styleId="Emfaz">
    <w:name w:val="Emphasis"/>
    <w:qFormat/>
    <w:rPr>
      <w:i/>
      <w:iCs/>
    </w:rPr>
  </w:style>
  <w:style w:type="character" w:customStyle="1" w:styleId="FootnoteTextChar">
    <w:name w:val="Footnote Text Char"/>
    <w:rPr>
      <w:sz w:val="20"/>
      <w:szCs w:val="20"/>
    </w:rPr>
  </w:style>
  <w:style w:type="character" w:customStyle="1" w:styleId="FootnoteTextChar1">
    <w:name w:val="Footnote Text Char1"/>
    <w:basedOn w:val="WW-DefaultParagraphFont11111111"/>
  </w:style>
  <w:style w:type="character" w:customStyle="1" w:styleId="FootnoteReference1">
    <w:name w:val="Footnote Reference1"/>
    <w:rPr>
      <w:vertAlign w:val="superscript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Pagrindinistekstas">
    <w:name w:val="Body Text"/>
    <w:basedOn w:val="prastasis"/>
    <w:pPr>
      <w:jc w:val="both"/>
    </w:pPr>
    <w:rPr>
      <w:sz w:val="24"/>
      <w:szCs w:val="24"/>
      <w:lang w:val="lv-LV"/>
    </w:rPr>
  </w:style>
  <w:style w:type="paragraph" w:styleId="Sraas">
    <w:name w:val="List"/>
    <w:basedOn w:val="Pagrindinistekstas"/>
    <w:rPr>
      <w:rFonts w:cs="Mangal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prastasis"/>
    <w:pPr>
      <w:suppressLineNumbers/>
    </w:pPr>
    <w:rPr>
      <w:rFonts w:cs="Mangal"/>
    </w:rPr>
  </w:style>
  <w:style w:type="paragraph" w:customStyle="1" w:styleId="Caption1">
    <w:name w:val="Caption1"/>
    <w:basedOn w:val="prastasis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avadinimas">
    <w:name w:val="Title"/>
    <w:basedOn w:val="prastasis"/>
    <w:next w:val="Paantrat"/>
    <w:qFormat/>
    <w:pPr>
      <w:spacing w:before="480" w:after="360" w:line="340" w:lineRule="atLeast"/>
      <w:jc w:val="center"/>
    </w:pPr>
    <w:rPr>
      <w:b/>
      <w:bCs/>
      <w:sz w:val="24"/>
      <w:szCs w:val="24"/>
      <w:lang w:val="lv-LV"/>
    </w:rPr>
  </w:style>
  <w:style w:type="paragraph" w:styleId="Paantrat">
    <w:name w:val="Subtitle"/>
    <w:basedOn w:val="Heading"/>
    <w:next w:val="Pagrindinistekstas"/>
    <w:qFormat/>
    <w:pPr>
      <w:jc w:val="center"/>
    </w:pPr>
    <w:rPr>
      <w:i/>
      <w:iCs/>
    </w:rPr>
  </w:style>
  <w:style w:type="paragraph" w:styleId="Pagrindiniotekstotrauka">
    <w:name w:val="Body Text Indent"/>
    <w:basedOn w:val="prastasis"/>
    <w:pPr>
      <w:tabs>
        <w:tab w:val="left" w:pos="1134"/>
      </w:tabs>
      <w:spacing w:before="120" w:line="360" w:lineRule="auto"/>
      <w:ind w:left="283" w:firstLine="567"/>
      <w:jc w:val="both"/>
    </w:pPr>
    <w:rPr>
      <w:sz w:val="24"/>
      <w:szCs w:val="24"/>
      <w:lang w:val="lv-LV"/>
    </w:rPr>
  </w:style>
  <w:style w:type="paragraph" w:styleId="Antrats">
    <w:name w:val="header"/>
    <w:basedOn w:val="prastasis"/>
    <w:pPr>
      <w:suppressLineNumbers/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suppressLineNumbers/>
      <w:tabs>
        <w:tab w:val="center" w:pos="4677"/>
        <w:tab w:val="right" w:pos="9355"/>
      </w:tabs>
    </w:pPr>
  </w:style>
  <w:style w:type="paragraph" w:styleId="Debesliotekstas">
    <w:name w:val="Balloon Text"/>
    <w:basedOn w:val="prastasis"/>
    <w:rPr>
      <w:rFonts w:ascii="Tahoma" w:hAnsi="Tahoma" w:cs="Tahoma"/>
      <w:sz w:val="16"/>
      <w:szCs w:val="16"/>
    </w:rPr>
  </w:style>
  <w:style w:type="paragraph" w:customStyle="1" w:styleId="FootnoteText1">
    <w:name w:val="Footnote Text1"/>
    <w:basedOn w:val="prastasi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Lilly</vt:lpstr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Lilly</dc:title>
  <dc:subject/>
  <dc:creator>Liudmila</dc:creator>
  <cp:keywords/>
  <cp:lastModifiedBy>Rasa Gurčytė</cp:lastModifiedBy>
  <cp:revision>9</cp:revision>
  <cp:lastPrinted>2022-09-02T10:47:00Z</cp:lastPrinted>
  <dcterms:created xsi:type="dcterms:W3CDTF">2023-06-26T13:07:00Z</dcterms:created>
  <dcterms:modified xsi:type="dcterms:W3CDTF">2023-07-18T11:07:00Z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