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767E" w14:textId="77777777" w:rsidR="006B0568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molekulė, </w:t>
      </w:r>
      <w:r w:rsidR="005D4154" w:rsidRPr="00E35702">
        <w:rPr>
          <w:rFonts w:ascii="Helvetica" w:hAnsi="Helvetica" w:cs="Arial"/>
          <w:sz w:val="20"/>
          <w:lang w:val="lt-LT"/>
        </w:rPr>
        <w:t>apimanti</w:t>
      </w:r>
      <w:r w:rsidR="009222AF" w:rsidRPr="00E35702">
        <w:rPr>
          <w:rFonts w:ascii="Helvetica" w:hAnsi="Helvetica" w:cs="Arial"/>
          <w:sz w:val="20"/>
          <w:lang w:val="lt-LT"/>
        </w:rPr>
        <w:t>:</w:t>
      </w:r>
      <w:r w:rsidR="006B0568">
        <w:rPr>
          <w:rFonts w:ascii="Helvetica" w:hAnsi="Helvetica" w:cs="Arial"/>
          <w:sz w:val="20"/>
          <w:lang w:val="lt-LT"/>
        </w:rPr>
        <w:t xml:space="preserve"> </w:t>
      </w:r>
    </w:p>
    <w:p w14:paraId="633BB521" w14:textId="77777777" w:rsidR="006B0568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(a) pirmąjį antigeną </w:t>
      </w:r>
      <w:r w:rsidR="005D4154" w:rsidRPr="00E35702">
        <w:rPr>
          <w:rFonts w:ascii="Helvetica" w:hAnsi="Helvetica" w:cs="Arial"/>
          <w:sz w:val="20"/>
          <w:lang w:val="lt-LT"/>
        </w:rPr>
        <w:t>surišantį</w:t>
      </w:r>
      <w:r w:rsidRPr="00E35702">
        <w:rPr>
          <w:rFonts w:ascii="Helvetica" w:hAnsi="Helvetica" w:cs="Arial"/>
          <w:sz w:val="20"/>
          <w:lang w:val="lt-LT"/>
        </w:rPr>
        <w:t xml:space="preserve"> domeną, </w:t>
      </w:r>
      <w:r w:rsidR="005D4154" w:rsidRPr="00E35702">
        <w:rPr>
          <w:rFonts w:ascii="Helvetica" w:hAnsi="Helvetica" w:cs="Arial"/>
          <w:sz w:val="20"/>
          <w:lang w:val="lt-LT"/>
        </w:rPr>
        <w:t xml:space="preserve">kuris </w:t>
      </w:r>
      <w:r w:rsidRPr="00E35702">
        <w:rPr>
          <w:rFonts w:ascii="Helvetica" w:hAnsi="Helvetica" w:cs="Arial"/>
          <w:sz w:val="20"/>
          <w:lang w:val="lt-LT"/>
        </w:rPr>
        <w:t xml:space="preserve">specifiškai </w:t>
      </w:r>
      <w:r w:rsidR="005D4154" w:rsidRPr="00E35702">
        <w:rPr>
          <w:rFonts w:ascii="Helvetica" w:hAnsi="Helvetica" w:cs="Arial"/>
          <w:sz w:val="20"/>
          <w:lang w:val="lt-LT"/>
        </w:rPr>
        <w:t>suriša</w:t>
      </w:r>
      <w:r w:rsidRPr="00E35702">
        <w:rPr>
          <w:rFonts w:ascii="Helvetica" w:hAnsi="Helvetica" w:cs="Arial"/>
          <w:sz w:val="20"/>
          <w:lang w:val="lt-LT"/>
        </w:rPr>
        <w:t xml:space="preserve"> žmogaus B ląstelių brendimo antigeną (BCMA), kur</w:t>
      </w:r>
      <w:r w:rsidR="005D4154" w:rsidRPr="00E35702">
        <w:rPr>
          <w:rFonts w:ascii="Helvetica" w:hAnsi="Helvetica" w:cs="Arial"/>
          <w:sz w:val="20"/>
          <w:lang w:val="lt-LT"/>
        </w:rPr>
        <w:t>is apima</w:t>
      </w:r>
      <w:r w:rsidRPr="00E35702">
        <w:rPr>
          <w:rFonts w:ascii="Helvetica" w:hAnsi="Helvetica" w:cs="Arial"/>
          <w:sz w:val="20"/>
          <w:lang w:val="lt-LT"/>
        </w:rPr>
        <w:t xml:space="preserve"> HCDR1, HCDR2, HCDR3 </w:t>
      </w:r>
      <w:r w:rsidR="005D4154" w:rsidRPr="00E35702">
        <w:rPr>
          <w:rFonts w:ascii="Helvetica" w:hAnsi="Helvetica" w:cs="Arial"/>
          <w:sz w:val="20"/>
          <w:lang w:val="lt-LT"/>
        </w:rPr>
        <w:t>domenus</w:t>
      </w:r>
      <w:r w:rsidRPr="00E35702">
        <w:rPr>
          <w:rFonts w:ascii="Helvetica" w:hAnsi="Helvetica" w:cs="Arial"/>
          <w:sz w:val="20"/>
          <w:lang w:val="lt-LT"/>
        </w:rPr>
        <w:t xml:space="preserve">, </w:t>
      </w:r>
      <w:r w:rsidR="005D4154" w:rsidRPr="00E35702">
        <w:rPr>
          <w:rFonts w:ascii="Helvetica" w:hAnsi="Helvetica" w:cs="Arial"/>
          <w:sz w:val="20"/>
          <w:lang w:val="lt-LT"/>
        </w:rPr>
        <w:t xml:space="preserve">atitinkamai apimančius </w:t>
      </w:r>
      <w:r w:rsidRPr="00E35702">
        <w:rPr>
          <w:rFonts w:ascii="Helvetica" w:hAnsi="Helvetica" w:cs="Arial"/>
          <w:sz w:val="20"/>
          <w:lang w:val="lt-LT"/>
        </w:rPr>
        <w:t>aminorūgščių sek</w:t>
      </w:r>
      <w:r w:rsidR="005D4154" w:rsidRPr="00E35702">
        <w:rPr>
          <w:rFonts w:ascii="Helvetica" w:hAnsi="Helvetica" w:cs="Arial"/>
          <w:sz w:val="20"/>
          <w:lang w:val="lt-LT"/>
        </w:rPr>
        <w:t>as</w:t>
      </w:r>
      <w:r w:rsidRPr="00E35702">
        <w:rPr>
          <w:rFonts w:ascii="Helvetica" w:hAnsi="Helvetica" w:cs="Arial"/>
          <w:sz w:val="20"/>
          <w:lang w:val="lt-LT"/>
        </w:rPr>
        <w:t xml:space="preserve"> SEQ ID Nr. 68, 70, 72, ir LCDR1, LCDR2, LCDR3 </w:t>
      </w:r>
      <w:r w:rsidR="005D4154" w:rsidRPr="00E35702">
        <w:rPr>
          <w:rFonts w:ascii="Helvetica" w:hAnsi="Helvetica" w:cs="Arial"/>
          <w:sz w:val="20"/>
          <w:lang w:val="lt-LT"/>
        </w:rPr>
        <w:t>domenus</w:t>
      </w:r>
      <w:r w:rsidRPr="00E35702">
        <w:rPr>
          <w:rFonts w:ascii="Helvetica" w:hAnsi="Helvetica" w:cs="Arial"/>
          <w:sz w:val="20"/>
          <w:lang w:val="lt-LT"/>
        </w:rPr>
        <w:t xml:space="preserve">, </w:t>
      </w:r>
      <w:r w:rsidR="005D4154" w:rsidRPr="00E35702">
        <w:rPr>
          <w:rFonts w:ascii="Helvetica" w:hAnsi="Helvetica" w:cs="Arial"/>
          <w:sz w:val="20"/>
          <w:lang w:val="lt-LT"/>
        </w:rPr>
        <w:t>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84, 86, 88; ir</w:t>
      </w:r>
    </w:p>
    <w:p w14:paraId="67CAC2A0" w14:textId="7A0D1717" w:rsidR="009222AF" w:rsidRPr="00E35702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(b) antrąjį antigeną </w:t>
      </w:r>
      <w:r w:rsidR="005D4154" w:rsidRPr="00E35702">
        <w:rPr>
          <w:rFonts w:ascii="Helvetica" w:hAnsi="Helvetica" w:cs="Arial"/>
          <w:sz w:val="20"/>
          <w:lang w:val="lt-LT"/>
        </w:rPr>
        <w:t>surišantį</w:t>
      </w:r>
      <w:r w:rsidRPr="00E35702">
        <w:rPr>
          <w:rFonts w:ascii="Helvetica" w:hAnsi="Helvetica" w:cs="Arial"/>
          <w:sz w:val="20"/>
          <w:lang w:val="lt-LT"/>
        </w:rPr>
        <w:t xml:space="preserve"> domeną, </w:t>
      </w:r>
      <w:r w:rsidR="005D4154" w:rsidRPr="00E35702">
        <w:rPr>
          <w:rFonts w:ascii="Helvetica" w:hAnsi="Helvetica" w:cs="Arial"/>
          <w:sz w:val="20"/>
          <w:lang w:val="lt-LT"/>
        </w:rPr>
        <w:t xml:space="preserve">kuris </w:t>
      </w:r>
      <w:r w:rsidRPr="00E35702">
        <w:rPr>
          <w:rFonts w:ascii="Helvetica" w:hAnsi="Helvetica" w:cs="Arial"/>
          <w:sz w:val="20"/>
          <w:lang w:val="lt-LT"/>
        </w:rPr>
        <w:t xml:space="preserve">specifiškai </w:t>
      </w:r>
      <w:r w:rsidR="005D4154" w:rsidRPr="00E35702">
        <w:rPr>
          <w:rFonts w:ascii="Helvetica" w:hAnsi="Helvetica" w:cs="Arial"/>
          <w:sz w:val="20"/>
          <w:lang w:val="lt-LT"/>
        </w:rPr>
        <w:t>suriša</w:t>
      </w:r>
      <w:r w:rsidRPr="00E35702">
        <w:rPr>
          <w:rFonts w:ascii="Helvetica" w:hAnsi="Helvetica" w:cs="Arial"/>
          <w:sz w:val="20"/>
          <w:lang w:val="lt-LT"/>
        </w:rPr>
        <w:t xml:space="preserve"> žmogaus CD3, </w:t>
      </w:r>
      <w:r w:rsidR="005D4154" w:rsidRPr="00E35702">
        <w:rPr>
          <w:rFonts w:ascii="Helvetica" w:hAnsi="Helvetica" w:cs="Arial"/>
          <w:sz w:val="20"/>
          <w:lang w:val="lt-LT"/>
        </w:rPr>
        <w:t>kuris apima</w:t>
      </w:r>
      <w:r w:rsidRPr="00E35702">
        <w:rPr>
          <w:rFonts w:ascii="Helvetica" w:hAnsi="Helvetica" w:cs="Arial"/>
          <w:sz w:val="20"/>
          <w:lang w:val="lt-LT"/>
        </w:rPr>
        <w:t xml:space="preserve"> HCDR1, HCDR2, HCDR3 </w:t>
      </w:r>
      <w:r w:rsidR="005D4154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92, 94, 96, ir LCDR1, LCDR2, LCDR3 </w:t>
      </w:r>
      <w:r w:rsidR="005D4154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84, 86, 88.</w:t>
      </w:r>
    </w:p>
    <w:p w14:paraId="1E66B51D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AE53F2E" w14:textId="77777777" w:rsidR="006B0568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2.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molekulė, </w:t>
      </w:r>
      <w:r w:rsidR="007052AA" w:rsidRPr="00E35702">
        <w:rPr>
          <w:rFonts w:ascii="Helvetica" w:hAnsi="Helvetica" w:cs="Arial"/>
          <w:sz w:val="20"/>
          <w:lang w:val="lt-LT"/>
        </w:rPr>
        <w:t>apimanti</w:t>
      </w:r>
      <w:r w:rsidR="009222AF" w:rsidRPr="00E35702">
        <w:rPr>
          <w:rFonts w:ascii="Helvetica" w:hAnsi="Helvetica" w:cs="Arial"/>
          <w:sz w:val="20"/>
          <w:lang w:val="lt-LT"/>
        </w:rPr>
        <w:t>:</w:t>
      </w:r>
    </w:p>
    <w:p w14:paraId="3EF2DBC4" w14:textId="77777777" w:rsidR="006B0568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(a) pirmąjį antigeną </w:t>
      </w:r>
      <w:r w:rsidR="005D4154" w:rsidRPr="00E35702">
        <w:rPr>
          <w:rFonts w:ascii="Helvetica" w:hAnsi="Helvetica" w:cs="Arial"/>
          <w:sz w:val="20"/>
          <w:lang w:val="lt-LT"/>
        </w:rPr>
        <w:t>surišantį</w:t>
      </w:r>
      <w:r w:rsidRPr="00E35702">
        <w:rPr>
          <w:rFonts w:ascii="Helvetica" w:hAnsi="Helvetica" w:cs="Arial"/>
          <w:sz w:val="20"/>
          <w:lang w:val="lt-LT"/>
        </w:rPr>
        <w:t xml:space="preserve"> domeną, </w:t>
      </w:r>
      <w:r w:rsidR="007052AA" w:rsidRPr="00E35702">
        <w:rPr>
          <w:rFonts w:ascii="Helvetica" w:hAnsi="Helvetica" w:cs="Arial"/>
          <w:sz w:val="20"/>
          <w:lang w:val="lt-LT"/>
        </w:rPr>
        <w:t xml:space="preserve">kuris </w:t>
      </w:r>
      <w:r w:rsidRPr="00E35702">
        <w:rPr>
          <w:rFonts w:ascii="Helvetica" w:hAnsi="Helvetica" w:cs="Arial"/>
          <w:sz w:val="20"/>
          <w:lang w:val="lt-LT"/>
        </w:rPr>
        <w:t xml:space="preserve">specifiškai </w:t>
      </w:r>
      <w:r w:rsidR="005D4154" w:rsidRPr="00E35702">
        <w:rPr>
          <w:rFonts w:ascii="Helvetica" w:hAnsi="Helvetica" w:cs="Arial"/>
          <w:sz w:val="20"/>
          <w:lang w:val="lt-LT"/>
        </w:rPr>
        <w:t>suriša</w:t>
      </w:r>
      <w:r w:rsidRPr="00E35702">
        <w:rPr>
          <w:rFonts w:ascii="Helvetica" w:hAnsi="Helvetica" w:cs="Arial"/>
          <w:sz w:val="20"/>
          <w:lang w:val="lt-LT"/>
        </w:rPr>
        <w:t xml:space="preserve"> žmogaus B ląstelių brendimo antigeną (BCMA), </w:t>
      </w:r>
      <w:r w:rsidR="007052AA" w:rsidRPr="00E35702">
        <w:rPr>
          <w:rFonts w:ascii="Helvetica" w:hAnsi="Helvetica" w:cs="Arial"/>
          <w:sz w:val="20"/>
          <w:lang w:val="lt-LT"/>
        </w:rPr>
        <w:t>kuris apima</w:t>
      </w:r>
      <w:r w:rsidR="007052AA" w:rsidRPr="00E35702" w:rsidDel="007052AA">
        <w:rPr>
          <w:rFonts w:ascii="Helvetica" w:hAnsi="Helvetica" w:cs="Arial"/>
          <w:sz w:val="20"/>
          <w:lang w:val="lt-LT"/>
        </w:rPr>
        <w:t xml:space="preserve"> </w:t>
      </w:r>
      <w:r w:rsidRPr="00E35702">
        <w:rPr>
          <w:rFonts w:ascii="Helvetica" w:hAnsi="Helvetica" w:cs="Arial"/>
          <w:sz w:val="20"/>
          <w:lang w:val="lt-LT"/>
        </w:rPr>
        <w:t xml:space="preserve">HCDR1, HCDR2, HCDR3 </w:t>
      </w:r>
      <w:r w:rsidR="007052AA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68, 70, 72, ir LCDR1, LCDR2, LCDR3 </w:t>
      </w:r>
      <w:r w:rsidR="007052AA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84, 86, 88; ir</w:t>
      </w:r>
    </w:p>
    <w:p w14:paraId="6899505C" w14:textId="0147EA44" w:rsidR="009222AF" w:rsidRPr="00E35702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(b) antrąjį antigeną </w:t>
      </w:r>
      <w:r w:rsidR="005D4154" w:rsidRPr="00E35702">
        <w:rPr>
          <w:rFonts w:ascii="Helvetica" w:hAnsi="Helvetica" w:cs="Arial"/>
          <w:sz w:val="20"/>
          <w:lang w:val="lt-LT"/>
        </w:rPr>
        <w:t>surišantį</w:t>
      </w:r>
      <w:r w:rsidRPr="00E35702">
        <w:rPr>
          <w:rFonts w:ascii="Helvetica" w:hAnsi="Helvetica" w:cs="Arial"/>
          <w:sz w:val="20"/>
          <w:lang w:val="lt-LT"/>
        </w:rPr>
        <w:t xml:space="preserve"> domeną, </w:t>
      </w:r>
      <w:r w:rsidR="00D3327E" w:rsidRPr="00E35702">
        <w:rPr>
          <w:rFonts w:ascii="Helvetica" w:hAnsi="Helvetica" w:cs="Arial"/>
          <w:sz w:val="20"/>
          <w:lang w:val="lt-LT"/>
        </w:rPr>
        <w:t xml:space="preserve">kuris </w:t>
      </w:r>
      <w:r w:rsidRPr="00E35702">
        <w:rPr>
          <w:rFonts w:ascii="Helvetica" w:hAnsi="Helvetica" w:cs="Arial"/>
          <w:sz w:val="20"/>
          <w:lang w:val="lt-LT"/>
        </w:rPr>
        <w:t xml:space="preserve">specifiškai </w:t>
      </w:r>
      <w:r w:rsidR="005D4154" w:rsidRPr="00E35702">
        <w:rPr>
          <w:rFonts w:ascii="Helvetica" w:hAnsi="Helvetica" w:cs="Arial"/>
          <w:sz w:val="20"/>
          <w:lang w:val="lt-LT"/>
        </w:rPr>
        <w:t>suriša</w:t>
      </w:r>
      <w:r w:rsidRPr="00E35702">
        <w:rPr>
          <w:rFonts w:ascii="Helvetica" w:hAnsi="Helvetica" w:cs="Arial"/>
          <w:sz w:val="20"/>
          <w:lang w:val="lt-LT"/>
        </w:rPr>
        <w:t xml:space="preserve"> žmogaus CD3, </w:t>
      </w:r>
      <w:r w:rsidR="007052AA" w:rsidRPr="00E35702">
        <w:rPr>
          <w:rFonts w:ascii="Helvetica" w:hAnsi="Helvetica" w:cs="Arial"/>
          <w:sz w:val="20"/>
          <w:lang w:val="lt-LT"/>
        </w:rPr>
        <w:t>kuris apima</w:t>
      </w:r>
      <w:r w:rsidRPr="00E35702">
        <w:rPr>
          <w:rFonts w:ascii="Helvetica" w:hAnsi="Helvetica" w:cs="Arial"/>
          <w:sz w:val="20"/>
          <w:lang w:val="lt-LT"/>
        </w:rPr>
        <w:t xml:space="preserve"> HCDR1, HCDR2, HCDR3 </w:t>
      </w:r>
      <w:r w:rsidR="00D3327E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100, 102, 104, ir LCDR1, LCDR2, LCDR3 </w:t>
      </w:r>
      <w:r w:rsidR="00D3327E" w:rsidRPr="00E35702">
        <w:rPr>
          <w:rFonts w:ascii="Helvetica" w:hAnsi="Helvetica" w:cs="Arial"/>
          <w:sz w:val="20"/>
          <w:lang w:val="lt-LT"/>
        </w:rPr>
        <w:t>domenus, atitinkamai apimančius aminorūgščių sekas</w:t>
      </w:r>
      <w:r w:rsidRPr="00E35702">
        <w:rPr>
          <w:rFonts w:ascii="Helvetica" w:hAnsi="Helvetica" w:cs="Arial"/>
          <w:sz w:val="20"/>
          <w:lang w:val="lt-LT"/>
        </w:rPr>
        <w:t xml:space="preserve"> SEQ ID Nr. 84, 86, 88.</w:t>
      </w:r>
    </w:p>
    <w:p w14:paraId="382E7C87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BF1EA86" w14:textId="77777777" w:rsidR="006B0568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3.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</w:t>
      </w:r>
      <w:r w:rsidR="00D3327E" w:rsidRPr="00E35702">
        <w:rPr>
          <w:rFonts w:ascii="Helvetica" w:hAnsi="Helvetica" w:cs="Arial"/>
          <w:sz w:val="20"/>
          <w:lang w:val="lt-LT"/>
        </w:rPr>
        <w:t>molekulė pagal 1 punktą</w:t>
      </w:r>
      <w:r w:rsidR="009222AF" w:rsidRPr="00E35702">
        <w:rPr>
          <w:rFonts w:ascii="Helvetica" w:hAnsi="Helvetica" w:cs="Arial"/>
          <w:sz w:val="20"/>
          <w:lang w:val="lt-LT"/>
        </w:rPr>
        <w:t>, kur:</w:t>
      </w:r>
    </w:p>
    <w:p w14:paraId="0C562499" w14:textId="77777777" w:rsidR="006B0568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(a) </w:t>
      </w:r>
      <w:r w:rsidR="00D3327E" w:rsidRPr="00E35702">
        <w:rPr>
          <w:rFonts w:ascii="Helvetica" w:hAnsi="Helvetica" w:cs="Arial"/>
          <w:sz w:val="20"/>
          <w:lang w:val="lt-LT"/>
        </w:rPr>
        <w:t xml:space="preserve">pirmasis </w:t>
      </w:r>
      <w:r w:rsidRPr="00E35702">
        <w:rPr>
          <w:rFonts w:ascii="Helvetica" w:hAnsi="Helvetica" w:cs="Arial"/>
          <w:sz w:val="20"/>
          <w:lang w:val="lt-LT"/>
        </w:rPr>
        <w:t xml:space="preserve">antigeną </w:t>
      </w:r>
      <w:r w:rsidR="00D3327E" w:rsidRPr="00E35702">
        <w:rPr>
          <w:rFonts w:ascii="Helvetica" w:hAnsi="Helvetica" w:cs="Arial"/>
          <w:sz w:val="20"/>
          <w:lang w:val="lt-LT"/>
        </w:rPr>
        <w:t xml:space="preserve">surišantis </w:t>
      </w:r>
      <w:r w:rsidRPr="00E35702">
        <w:rPr>
          <w:rFonts w:ascii="Helvetica" w:hAnsi="Helvetica" w:cs="Arial"/>
          <w:sz w:val="20"/>
          <w:lang w:val="lt-LT"/>
        </w:rPr>
        <w:t>domen</w:t>
      </w:r>
      <w:r w:rsidR="00D3327E" w:rsidRPr="00E35702">
        <w:rPr>
          <w:rFonts w:ascii="Helvetica" w:hAnsi="Helvetica" w:cs="Arial"/>
          <w:sz w:val="20"/>
          <w:lang w:val="lt-LT"/>
        </w:rPr>
        <w:t>as apima</w:t>
      </w:r>
      <w:r w:rsidRPr="00E35702">
        <w:rPr>
          <w:rFonts w:ascii="Helvetica" w:hAnsi="Helvetica" w:cs="Arial"/>
          <w:sz w:val="20"/>
          <w:lang w:val="lt-LT"/>
        </w:rPr>
        <w:t xml:space="preserve"> HCVR, </w:t>
      </w:r>
      <w:r w:rsidR="00D3327E" w:rsidRPr="00E35702">
        <w:rPr>
          <w:rFonts w:ascii="Helvetica" w:hAnsi="Helvetica" w:cs="Arial"/>
          <w:sz w:val="20"/>
          <w:lang w:val="lt-LT"/>
        </w:rPr>
        <w:t>apimantį</w:t>
      </w:r>
      <w:r w:rsidRPr="00E35702">
        <w:rPr>
          <w:rFonts w:ascii="Helvetica" w:hAnsi="Helvetica" w:cs="Arial"/>
          <w:sz w:val="20"/>
          <w:lang w:val="lt-LT"/>
        </w:rPr>
        <w:t xml:space="preserve"> SEQ ID Nr. 66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 xml:space="preserve">, ir LCVR, </w:t>
      </w:r>
      <w:r w:rsidR="00D3327E" w:rsidRPr="00E35702">
        <w:rPr>
          <w:rFonts w:ascii="Helvetica" w:hAnsi="Helvetica" w:cs="Arial"/>
          <w:sz w:val="20"/>
          <w:lang w:val="lt-LT"/>
        </w:rPr>
        <w:t>apimantį</w:t>
      </w:r>
      <w:r w:rsidRPr="00E35702">
        <w:rPr>
          <w:rFonts w:ascii="Helvetica" w:hAnsi="Helvetica" w:cs="Arial"/>
          <w:sz w:val="20"/>
          <w:lang w:val="lt-LT"/>
        </w:rPr>
        <w:t xml:space="preserve"> SEQ ID Nr. 82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>; ir</w:t>
      </w:r>
    </w:p>
    <w:p w14:paraId="5CACCA43" w14:textId="4F9E70B1" w:rsidR="009222AF" w:rsidRPr="00E35702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(b) </w:t>
      </w:r>
      <w:r w:rsidR="00D3327E" w:rsidRPr="00E35702">
        <w:rPr>
          <w:rFonts w:ascii="Helvetica" w:hAnsi="Helvetica" w:cs="Arial"/>
          <w:sz w:val="20"/>
          <w:lang w:val="lt-LT"/>
        </w:rPr>
        <w:t>antrasis antigeną surišantis domenas apima</w:t>
      </w:r>
      <w:r w:rsidRPr="00E35702">
        <w:rPr>
          <w:rFonts w:ascii="Helvetica" w:hAnsi="Helvetica" w:cs="Arial"/>
          <w:sz w:val="20"/>
          <w:lang w:val="lt-LT"/>
        </w:rPr>
        <w:t xml:space="preserve"> HCVR, </w:t>
      </w:r>
      <w:r w:rsidR="00D3327E" w:rsidRPr="00E35702">
        <w:rPr>
          <w:rFonts w:ascii="Helvetica" w:hAnsi="Helvetica" w:cs="Arial"/>
          <w:sz w:val="20"/>
          <w:lang w:val="lt-LT"/>
        </w:rPr>
        <w:t xml:space="preserve">apimantį </w:t>
      </w:r>
      <w:r w:rsidRPr="00E35702">
        <w:rPr>
          <w:rFonts w:ascii="Helvetica" w:hAnsi="Helvetica" w:cs="Arial"/>
          <w:sz w:val="20"/>
          <w:lang w:val="lt-LT"/>
        </w:rPr>
        <w:t xml:space="preserve">SEQ ID Nr. 90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 xml:space="preserve">, ir LCVR, </w:t>
      </w:r>
      <w:r w:rsidR="00D3327E" w:rsidRPr="00E35702">
        <w:rPr>
          <w:rFonts w:ascii="Helvetica" w:hAnsi="Helvetica" w:cs="Arial"/>
          <w:sz w:val="20"/>
          <w:lang w:val="lt-LT"/>
        </w:rPr>
        <w:t>apimantį</w:t>
      </w:r>
      <w:r w:rsidRPr="00E35702">
        <w:rPr>
          <w:rFonts w:ascii="Helvetica" w:hAnsi="Helvetica" w:cs="Arial"/>
          <w:sz w:val="20"/>
          <w:lang w:val="lt-LT"/>
        </w:rPr>
        <w:t xml:space="preserve"> SEQ ID Nr. 82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>.</w:t>
      </w:r>
    </w:p>
    <w:p w14:paraId="4DA718C5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28533A8" w14:textId="77777777" w:rsidR="006B0568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4.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</w:t>
      </w:r>
      <w:r w:rsidR="00D3327E" w:rsidRPr="00E35702">
        <w:rPr>
          <w:rFonts w:ascii="Helvetica" w:hAnsi="Helvetica" w:cs="Arial"/>
          <w:sz w:val="20"/>
          <w:lang w:val="lt-LT"/>
        </w:rPr>
        <w:t>molekulė pagal 2 punktą, kur</w:t>
      </w:r>
      <w:r w:rsidR="009222AF" w:rsidRPr="00E35702">
        <w:rPr>
          <w:rFonts w:ascii="Helvetica" w:hAnsi="Helvetica" w:cs="Arial"/>
          <w:sz w:val="20"/>
          <w:lang w:val="lt-LT"/>
        </w:rPr>
        <w:t>:</w:t>
      </w:r>
    </w:p>
    <w:p w14:paraId="212CC5EE" w14:textId="77777777" w:rsidR="006B0568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(a) </w:t>
      </w:r>
      <w:r w:rsidR="00D3327E" w:rsidRPr="00E35702">
        <w:rPr>
          <w:rFonts w:ascii="Helvetica" w:hAnsi="Helvetica" w:cs="Arial"/>
          <w:sz w:val="20"/>
          <w:lang w:val="lt-LT"/>
        </w:rPr>
        <w:t>pirmasis antigeną surišantis domenas apima HCVR, apimantį</w:t>
      </w:r>
      <w:r w:rsidRPr="00E35702">
        <w:rPr>
          <w:rFonts w:ascii="Helvetica" w:hAnsi="Helvetica" w:cs="Arial"/>
          <w:sz w:val="20"/>
          <w:lang w:val="lt-LT"/>
        </w:rPr>
        <w:t xml:space="preserve"> SEQ ID Nr. 66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 xml:space="preserve">, ir LCVR, </w:t>
      </w:r>
      <w:r w:rsidR="00D3327E" w:rsidRPr="00E35702">
        <w:rPr>
          <w:rFonts w:ascii="Helvetica" w:hAnsi="Helvetica" w:cs="Arial"/>
          <w:sz w:val="20"/>
          <w:lang w:val="lt-LT"/>
        </w:rPr>
        <w:t>apimantį</w:t>
      </w:r>
      <w:r w:rsidRPr="00E35702">
        <w:rPr>
          <w:rFonts w:ascii="Helvetica" w:hAnsi="Helvetica" w:cs="Arial"/>
          <w:sz w:val="20"/>
          <w:lang w:val="lt-LT"/>
        </w:rPr>
        <w:t xml:space="preserve"> SEQ ID Nr. 82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>; ir</w:t>
      </w:r>
    </w:p>
    <w:p w14:paraId="6BD85B4E" w14:textId="4E68AFCA" w:rsidR="009222AF" w:rsidRPr="00E35702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(b) </w:t>
      </w:r>
      <w:r w:rsidR="00D3327E" w:rsidRPr="00E35702">
        <w:rPr>
          <w:rFonts w:ascii="Helvetica" w:hAnsi="Helvetica" w:cs="Arial"/>
          <w:sz w:val="20"/>
          <w:lang w:val="lt-LT"/>
        </w:rPr>
        <w:t>antrasis antigeną surišantis domenas apima HCVR, apimantį</w:t>
      </w:r>
      <w:r w:rsidRPr="00E35702">
        <w:rPr>
          <w:rFonts w:ascii="Helvetica" w:hAnsi="Helvetica" w:cs="Arial"/>
          <w:sz w:val="20"/>
          <w:lang w:val="lt-LT"/>
        </w:rPr>
        <w:t xml:space="preserve"> SEQ ID Nr. 98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 xml:space="preserve">, ir LCVR, </w:t>
      </w:r>
      <w:r w:rsidR="00D3327E" w:rsidRPr="00E35702">
        <w:rPr>
          <w:rFonts w:ascii="Helvetica" w:hAnsi="Helvetica" w:cs="Arial"/>
          <w:sz w:val="20"/>
          <w:lang w:val="lt-LT"/>
        </w:rPr>
        <w:t>apimantį</w:t>
      </w:r>
      <w:r w:rsidRPr="00E35702">
        <w:rPr>
          <w:rFonts w:ascii="Helvetica" w:hAnsi="Helvetica" w:cs="Arial"/>
          <w:sz w:val="20"/>
          <w:lang w:val="lt-LT"/>
        </w:rPr>
        <w:t xml:space="preserve"> SEQ ID Nr. 82 aminorūgščių </w:t>
      </w:r>
      <w:r w:rsidR="00D3327E" w:rsidRPr="00E35702">
        <w:rPr>
          <w:rFonts w:ascii="Helvetica" w:hAnsi="Helvetica" w:cs="Arial"/>
          <w:sz w:val="20"/>
          <w:lang w:val="lt-LT"/>
        </w:rPr>
        <w:t>seką</w:t>
      </w:r>
      <w:r w:rsidRPr="00E35702">
        <w:rPr>
          <w:rFonts w:ascii="Helvetica" w:hAnsi="Helvetica" w:cs="Arial"/>
          <w:sz w:val="20"/>
          <w:lang w:val="lt-LT"/>
        </w:rPr>
        <w:t>.</w:t>
      </w:r>
    </w:p>
    <w:p w14:paraId="00C11FBE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633BFE9" w14:textId="7728874B" w:rsidR="009222AF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5.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pagal bet kurį iš 1–4 punktų, kuri yra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bispecifinis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antikūnas.</w:t>
      </w:r>
    </w:p>
    <w:p w14:paraId="609784E4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BAAA40A" w14:textId="77777777" w:rsidR="006B0568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6.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</w:t>
      </w:r>
      <w:r w:rsidR="00D3327E" w:rsidRPr="00E35702">
        <w:rPr>
          <w:rFonts w:ascii="Helvetica" w:hAnsi="Helvetica" w:cs="Arial"/>
          <w:sz w:val="20"/>
          <w:lang w:val="lt-LT"/>
        </w:rPr>
        <w:t xml:space="preserve"> pagal 5 punktą</w:t>
      </w:r>
      <w:r w:rsidR="009222AF" w:rsidRPr="00E35702">
        <w:rPr>
          <w:rFonts w:ascii="Helvetica" w:hAnsi="Helvetica" w:cs="Arial"/>
          <w:sz w:val="20"/>
          <w:lang w:val="lt-LT"/>
        </w:rPr>
        <w:t>, kur:</w:t>
      </w:r>
    </w:p>
    <w:p w14:paraId="2FED286F" w14:textId="77777777" w:rsidR="006B0568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E35702">
        <w:rPr>
          <w:rFonts w:ascii="Helvetica" w:hAnsi="Helvetica" w:cs="Arial"/>
          <w:sz w:val="20"/>
          <w:lang w:val="lt-LT"/>
        </w:rPr>
        <w:t>bispecifinis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antikūnas apima žmogaus </w:t>
      </w:r>
      <w:proofErr w:type="spellStart"/>
      <w:r w:rsidRPr="00E35702">
        <w:rPr>
          <w:rFonts w:ascii="Helvetica" w:hAnsi="Helvetica" w:cs="Arial"/>
          <w:sz w:val="20"/>
          <w:lang w:val="lt-LT"/>
        </w:rPr>
        <w:t>IgG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sunkiosios grandinės pastoviąją sritį, priklausančią </w:t>
      </w:r>
      <w:proofErr w:type="spellStart"/>
      <w:r w:rsidRPr="00E35702">
        <w:rPr>
          <w:rFonts w:ascii="Helvetica" w:hAnsi="Helvetica" w:cs="Arial"/>
          <w:sz w:val="20"/>
          <w:lang w:val="lt-LT"/>
        </w:rPr>
        <w:t>izotipui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IgG1 arba IgG4; ir (arba)</w:t>
      </w:r>
    </w:p>
    <w:p w14:paraId="6A564228" w14:textId="636B8C2B" w:rsidR="009222AF" w:rsidRPr="00E35702" w:rsidRDefault="009222AF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E35702">
        <w:rPr>
          <w:rFonts w:ascii="Helvetica" w:hAnsi="Helvetica" w:cs="Arial"/>
          <w:sz w:val="20"/>
          <w:lang w:val="lt-LT"/>
        </w:rPr>
        <w:t>bispecifinis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antikūnas </w:t>
      </w:r>
      <w:r w:rsidR="00D3327E" w:rsidRPr="00E35702">
        <w:rPr>
          <w:rFonts w:ascii="Helvetica" w:hAnsi="Helvetica" w:cs="Arial"/>
          <w:sz w:val="20"/>
          <w:lang w:val="lt-LT"/>
        </w:rPr>
        <w:t xml:space="preserve">apima </w:t>
      </w:r>
      <w:r w:rsidRPr="00E35702">
        <w:rPr>
          <w:rFonts w:ascii="Helvetica" w:hAnsi="Helvetica" w:cs="Arial"/>
          <w:sz w:val="20"/>
          <w:lang w:val="lt-LT"/>
        </w:rPr>
        <w:t xml:space="preserve">chimerinį </w:t>
      </w:r>
      <w:r w:rsidR="00240BE3" w:rsidRPr="00E35702">
        <w:rPr>
          <w:rFonts w:ascii="Helvetica" w:hAnsi="Helvetica" w:cs="Arial"/>
          <w:sz w:val="20"/>
          <w:lang w:val="lt-LT"/>
        </w:rPr>
        <w:t>lankstą</w:t>
      </w:r>
      <w:r w:rsidRPr="00E35702">
        <w:rPr>
          <w:rFonts w:ascii="Helvetica" w:hAnsi="Helvetica" w:cs="Arial"/>
          <w:sz w:val="20"/>
          <w:lang w:val="lt-LT"/>
        </w:rPr>
        <w:t xml:space="preserve">, kuris sumažina </w:t>
      </w:r>
      <w:proofErr w:type="spellStart"/>
      <w:r w:rsidRPr="00E35702">
        <w:rPr>
          <w:rFonts w:ascii="Helvetica" w:hAnsi="Helvetica" w:cs="Arial"/>
          <w:sz w:val="20"/>
          <w:lang w:val="lt-LT"/>
        </w:rPr>
        <w:t>Fcγ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receptorių </w:t>
      </w:r>
      <w:r w:rsidR="00240BE3" w:rsidRPr="00E35702">
        <w:rPr>
          <w:rFonts w:ascii="Helvetica" w:hAnsi="Helvetica" w:cs="Arial"/>
          <w:sz w:val="20"/>
          <w:lang w:val="lt-LT"/>
        </w:rPr>
        <w:t>surišimą</w:t>
      </w:r>
      <w:r w:rsidRPr="00E35702">
        <w:rPr>
          <w:rFonts w:ascii="Helvetica" w:hAnsi="Helvetica" w:cs="Arial"/>
          <w:sz w:val="20"/>
          <w:lang w:val="lt-LT"/>
        </w:rPr>
        <w:t xml:space="preserve">, palyginti su to paties </w:t>
      </w:r>
      <w:proofErr w:type="spellStart"/>
      <w:r w:rsidRPr="00E35702">
        <w:rPr>
          <w:rFonts w:ascii="Helvetica" w:hAnsi="Helvetica" w:cs="Arial"/>
          <w:sz w:val="20"/>
          <w:lang w:val="lt-LT"/>
        </w:rPr>
        <w:t>izotipo</w:t>
      </w:r>
      <w:proofErr w:type="spellEnd"/>
      <w:r w:rsidRPr="00E35702">
        <w:rPr>
          <w:rFonts w:ascii="Helvetica" w:hAnsi="Helvetica" w:cs="Arial"/>
          <w:sz w:val="20"/>
          <w:lang w:val="lt-LT"/>
        </w:rPr>
        <w:t xml:space="preserve"> laukinio tipo </w:t>
      </w:r>
      <w:r w:rsidR="00240BE3" w:rsidRPr="00E35702">
        <w:rPr>
          <w:rFonts w:ascii="Helvetica" w:hAnsi="Helvetica" w:cs="Arial"/>
          <w:sz w:val="20"/>
          <w:lang w:val="lt-LT"/>
        </w:rPr>
        <w:t>lankstu</w:t>
      </w:r>
      <w:r w:rsidRPr="00E35702">
        <w:rPr>
          <w:rFonts w:ascii="Helvetica" w:hAnsi="Helvetica" w:cs="Arial"/>
          <w:sz w:val="20"/>
          <w:lang w:val="lt-LT"/>
        </w:rPr>
        <w:t>.</w:t>
      </w:r>
    </w:p>
    <w:p w14:paraId="2544B96F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A34E3AF" w14:textId="4E5135CD" w:rsidR="009222AF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7. </w:t>
      </w:r>
      <w:r w:rsidR="009222AF" w:rsidRPr="00E35702">
        <w:rPr>
          <w:rFonts w:ascii="Helvetica" w:hAnsi="Helvetica" w:cs="Arial"/>
          <w:sz w:val="20"/>
          <w:lang w:val="lt-LT"/>
        </w:rPr>
        <w:t xml:space="preserve">Farmacinė kompozicija, </w:t>
      </w:r>
      <w:r w:rsidR="00240BE3" w:rsidRPr="00E35702">
        <w:rPr>
          <w:rFonts w:ascii="Helvetica" w:hAnsi="Helvetica" w:cs="Arial"/>
          <w:sz w:val="20"/>
          <w:lang w:val="lt-LT"/>
        </w:rPr>
        <w:t>apimanti</w:t>
      </w:r>
      <w:r w:rsidR="009222AF" w:rsidRPr="00E357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40BE3" w:rsidRPr="00E35702">
        <w:rPr>
          <w:rFonts w:ascii="Helvetica" w:hAnsi="Helvetica" w:cs="Arial"/>
          <w:sz w:val="20"/>
          <w:lang w:val="lt-LT"/>
        </w:rPr>
        <w:t>bispecifinę</w:t>
      </w:r>
      <w:proofErr w:type="spellEnd"/>
      <w:r w:rsidR="00240BE3" w:rsidRPr="00E35702">
        <w:rPr>
          <w:rFonts w:ascii="Helvetica" w:hAnsi="Helvetica" w:cs="Arial"/>
          <w:sz w:val="20"/>
          <w:lang w:val="lt-LT"/>
        </w:rPr>
        <w:t xml:space="preserve"> </w:t>
      </w:r>
      <w:r w:rsidR="009222AF" w:rsidRPr="00E35702">
        <w:rPr>
          <w:rFonts w:ascii="Helvetica" w:hAnsi="Helvetica" w:cs="Arial"/>
          <w:sz w:val="20"/>
          <w:lang w:val="lt-LT"/>
        </w:rPr>
        <w:t xml:space="preserve">antigeną </w:t>
      </w:r>
      <w:r w:rsidR="00240BE3" w:rsidRPr="00E35702">
        <w:rPr>
          <w:rFonts w:ascii="Helvetica" w:hAnsi="Helvetica" w:cs="Arial"/>
          <w:sz w:val="20"/>
          <w:lang w:val="lt-LT"/>
        </w:rPr>
        <w:t xml:space="preserve">surišančią molekulę pagal bet kurį iš 1–6 punktų </w:t>
      </w:r>
      <w:r w:rsidR="009222AF" w:rsidRPr="00E35702">
        <w:rPr>
          <w:rFonts w:ascii="Helvetica" w:hAnsi="Helvetica" w:cs="Arial"/>
          <w:sz w:val="20"/>
          <w:lang w:val="lt-LT"/>
        </w:rPr>
        <w:t xml:space="preserve">ir farmaciniu požiūriu </w:t>
      </w:r>
      <w:r w:rsidR="00240BE3" w:rsidRPr="00E35702">
        <w:rPr>
          <w:rFonts w:ascii="Helvetica" w:hAnsi="Helvetica" w:cs="Arial"/>
          <w:sz w:val="20"/>
          <w:lang w:val="lt-LT"/>
        </w:rPr>
        <w:t xml:space="preserve">priimtiną nešiklį </w:t>
      </w:r>
      <w:r w:rsidR="009222AF" w:rsidRPr="00E35702">
        <w:rPr>
          <w:rFonts w:ascii="Helvetica" w:hAnsi="Helvetica" w:cs="Arial"/>
          <w:sz w:val="20"/>
          <w:lang w:val="lt-LT"/>
        </w:rPr>
        <w:t xml:space="preserve">arba </w:t>
      </w:r>
      <w:r w:rsidR="00240BE3" w:rsidRPr="00E35702">
        <w:rPr>
          <w:rFonts w:ascii="Helvetica" w:hAnsi="Helvetica" w:cs="Arial"/>
          <w:sz w:val="20"/>
          <w:lang w:val="lt-LT"/>
        </w:rPr>
        <w:t>skiediklį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59994280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A0F5A50" w14:textId="4F21E08E" w:rsidR="009222AF" w:rsidRPr="00E35702" w:rsidRDefault="008F252C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8. </w:t>
      </w:r>
      <w:r w:rsidR="009222AF" w:rsidRPr="00E35702">
        <w:rPr>
          <w:rFonts w:ascii="Helvetica" w:hAnsi="Helvetica" w:cs="Arial"/>
          <w:sz w:val="20"/>
          <w:lang w:val="lt-LT"/>
        </w:rPr>
        <w:t xml:space="preserve">Nukleorūgšties molekulė, </w:t>
      </w:r>
      <w:r w:rsidR="00240BE3" w:rsidRPr="00E35702">
        <w:rPr>
          <w:rFonts w:ascii="Helvetica" w:hAnsi="Helvetica" w:cs="Arial"/>
          <w:sz w:val="20"/>
          <w:lang w:val="lt-LT"/>
        </w:rPr>
        <w:t xml:space="preserve">apimanti nukleotidų seką, koduojančią </w:t>
      </w:r>
      <w:proofErr w:type="spellStart"/>
      <w:r w:rsidR="00240BE3" w:rsidRPr="00E35702">
        <w:rPr>
          <w:rFonts w:ascii="Helvetica" w:hAnsi="Helvetica" w:cs="Arial"/>
          <w:sz w:val="20"/>
          <w:lang w:val="lt-LT"/>
        </w:rPr>
        <w:t>bispecifinę</w:t>
      </w:r>
      <w:proofErr w:type="spellEnd"/>
      <w:r w:rsidR="00240BE3" w:rsidRPr="00E35702">
        <w:rPr>
          <w:rFonts w:ascii="Helvetica" w:hAnsi="Helvetica" w:cs="Arial"/>
          <w:sz w:val="20"/>
          <w:lang w:val="lt-LT"/>
        </w:rPr>
        <w:t xml:space="preserve"> antigeną surišančią molekulę pagal bet kurį iš 1–6 punktų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7645FAE4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A498B07" w14:textId="77777777" w:rsidR="006B0568" w:rsidRDefault="008F252C" w:rsidP="006B05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9. </w:t>
      </w:r>
      <w:r w:rsidR="009222AF" w:rsidRPr="00E35702">
        <w:rPr>
          <w:rFonts w:ascii="Helvetica" w:hAnsi="Helvetica" w:cs="Arial"/>
          <w:sz w:val="20"/>
          <w:lang w:val="lt-LT"/>
        </w:rPr>
        <w:t>Ekspresijos vektorius,</w:t>
      </w:r>
      <w:r w:rsidR="00240BE3" w:rsidRPr="00E35702">
        <w:rPr>
          <w:rFonts w:ascii="Helvetica" w:hAnsi="Helvetica" w:cs="Arial"/>
          <w:sz w:val="20"/>
          <w:lang w:val="lt-LT"/>
        </w:rPr>
        <w:t xml:space="preserve"> apimantis</w:t>
      </w:r>
      <w:r w:rsidR="009222AF" w:rsidRPr="00E35702">
        <w:rPr>
          <w:rFonts w:ascii="Helvetica" w:hAnsi="Helvetica" w:cs="Arial"/>
          <w:sz w:val="20"/>
          <w:lang w:val="lt-LT"/>
        </w:rPr>
        <w:t xml:space="preserve"> nukleorūgšties </w:t>
      </w:r>
      <w:r w:rsidR="00240BE3" w:rsidRPr="00E35702">
        <w:rPr>
          <w:rFonts w:ascii="Helvetica" w:hAnsi="Helvetica" w:cs="Arial"/>
          <w:sz w:val="20"/>
          <w:lang w:val="lt-LT"/>
        </w:rPr>
        <w:t>molekulę pagal 8 punktą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685D9C15" w14:textId="77777777" w:rsidR="006B0568" w:rsidRDefault="006B0568" w:rsidP="006B05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FB8EE4C" w14:textId="526784C7" w:rsidR="009222AF" w:rsidRPr="00E35702" w:rsidRDefault="008F252C" w:rsidP="006B056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10. </w:t>
      </w:r>
      <w:r w:rsidR="009222AF" w:rsidRPr="00E35702">
        <w:rPr>
          <w:rFonts w:ascii="Helvetica" w:hAnsi="Helvetica" w:cs="Arial"/>
          <w:sz w:val="20"/>
          <w:lang w:val="lt-LT"/>
        </w:rPr>
        <w:t xml:space="preserve">Ląstelė-šeimininkė, </w:t>
      </w:r>
      <w:r w:rsidR="00240BE3" w:rsidRPr="00E35702">
        <w:rPr>
          <w:rFonts w:ascii="Helvetica" w:hAnsi="Helvetica" w:cs="Arial"/>
          <w:sz w:val="20"/>
          <w:lang w:val="lt-LT"/>
        </w:rPr>
        <w:t xml:space="preserve">apimanti </w:t>
      </w:r>
      <w:r w:rsidR="009222AF" w:rsidRPr="00E35702">
        <w:rPr>
          <w:rFonts w:ascii="Helvetica" w:hAnsi="Helvetica" w:cs="Arial"/>
          <w:sz w:val="20"/>
          <w:lang w:val="lt-LT"/>
        </w:rPr>
        <w:t>ekspresijos vektorių</w:t>
      </w:r>
      <w:r w:rsidR="00240BE3" w:rsidRPr="00E35702">
        <w:rPr>
          <w:rFonts w:ascii="Helvetica" w:hAnsi="Helvetica" w:cs="Arial"/>
          <w:sz w:val="20"/>
          <w:lang w:val="lt-LT"/>
        </w:rPr>
        <w:t xml:space="preserve"> pagal 9 punktą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088328BE" w14:textId="77777777" w:rsidR="00E35702" w:rsidRPr="00E35702" w:rsidRDefault="00E35702" w:rsidP="00E357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9A9D7F" w14:textId="06F414C1" w:rsidR="009222AF" w:rsidRPr="00E35702" w:rsidRDefault="008F252C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11.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</w:t>
      </w:r>
      <w:r w:rsidR="00240BE3" w:rsidRPr="00E35702">
        <w:rPr>
          <w:rFonts w:ascii="Helvetica" w:hAnsi="Helvetica" w:cs="Arial"/>
          <w:sz w:val="20"/>
          <w:lang w:val="lt-LT"/>
        </w:rPr>
        <w:t xml:space="preserve"> pagal</w:t>
      </w:r>
      <w:r w:rsidR="009222AF" w:rsidRPr="00E35702">
        <w:rPr>
          <w:rFonts w:ascii="Helvetica" w:hAnsi="Helvetica" w:cs="Arial"/>
          <w:sz w:val="20"/>
          <w:lang w:val="lt-LT"/>
        </w:rPr>
        <w:t xml:space="preserve"> bet </w:t>
      </w:r>
      <w:r w:rsidR="00240BE3" w:rsidRPr="00E35702">
        <w:rPr>
          <w:rFonts w:ascii="Helvetica" w:hAnsi="Helvetica" w:cs="Arial"/>
          <w:sz w:val="20"/>
          <w:lang w:val="lt-LT"/>
        </w:rPr>
        <w:t xml:space="preserve">kurį </w:t>
      </w:r>
      <w:r w:rsidR="009222AF" w:rsidRPr="00E35702">
        <w:rPr>
          <w:rFonts w:ascii="Helvetica" w:hAnsi="Helvetica" w:cs="Arial"/>
          <w:sz w:val="20"/>
          <w:lang w:val="lt-LT"/>
        </w:rPr>
        <w:t>iš 1–6 punktų, arba farmacinė kompozicija</w:t>
      </w:r>
      <w:r w:rsidR="00240BE3" w:rsidRPr="00E35702">
        <w:rPr>
          <w:rFonts w:ascii="Helvetica" w:hAnsi="Helvetica" w:cs="Arial"/>
          <w:sz w:val="20"/>
          <w:lang w:val="lt-LT"/>
        </w:rPr>
        <w:t xml:space="preserve"> pagal</w:t>
      </w:r>
      <w:r w:rsidR="009222AF" w:rsidRPr="00E35702">
        <w:rPr>
          <w:rFonts w:ascii="Helvetica" w:hAnsi="Helvetica" w:cs="Arial"/>
          <w:sz w:val="20"/>
          <w:lang w:val="lt-LT"/>
        </w:rPr>
        <w:t xml:space="preserve"> 7 </w:t>
      </w:r>
      <w:r w:rsidR="00240BE3" w:rsidRPr="00E35702">
        <w:rPr>
          <w:rFonts w:ascii="Helvetica" w:hAnsi="Helvetica" w:cs="Arial"/>
          <w:sz w:val="20"/>
          <w:lang w:val="lt-LT"/>
        </w:rPr>
        <w:t>punktą</w:t>
      </w:r>
      <w:r w:rsidR="009222AF" w:rsidRPr="00E35702">
        <w:rPr>
          <w:rFonts w:ascii="Helvetica" w:hAnsi="Helvetica" w:cs="Arial"/>
          <w:sz w:val="20"/>
          <w:lang w:val="lt-LT"/>
        </w:rPr>
        <w:t>, skirta</w:t>
      </w:r>
      <w:r w:rsidR="00240BE3" w:rsidRPr="00E35702">
        <w:rPr>
          <w:rFonts w:ascii="Helvetica" w:hAnsi="Helvetica" w:cs="Arial"/>
          <w:sz w:val="20"/>
          <w:lang w:val="lt-LT"/>
        </w:rPr>
        <w:t xml:space="preserve"> naudoti taikant subjektui</w:t>
      </w:r>
      <w:r w:rsidR="009222AF" w:rsidRPr="00E35702">
        <w:rPr>
          <w:rFonts w:ascii="Helvetica" w:hAnsi="Helvetica" w:cs="Arial"/>
          <w:sz w:val="20"/>
          <w:lang w:val="lt-LT"/>
        </w:rPr>
        <w:t xml:space="preserve"> plazminių ląstelių naviko </w:t>
      </w:r>
      <w:r w:rsidR="00240BE3" w:rsidRPr="00E35702">
        <w:rPr>
          <w:rFonts w:ascii="Helvetica" w:hAnsi="Helvetica" w:cs="Arial"/>
          <w:sz w:val="20"/>
          <w:lang w:val="lt-LT"/>
        </w:rPr>
        <w:t>augimo slopinimo būdą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71A39E38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A98DA58" w14:textId="4D82625E" w:rsidR="009222AF" w:rsidRPr="00E35702" w:rsidRDefault="008F252C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12.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</w:t>
      </w:r>
      <w:r w:rsidR="00240BE3" w:rsidRPr="00E35702">
        <w:rPr>
          <w:rFonts w:ascii="Helvetica" w:hAnsi="Helvetica" w:cs="Arial"/>
          <w:sz w:val="20"/>
          <w:lang w:val="lt-LT"/>
        </w:rPr>
        <w:t xml:space="preserve"> pagal bet kurį</w:t>
      </w:r>
      <w:r w:rsidR="009222AF" w:rsidRPr="00E35702">
        <w:rPr>
          <w:rFonts w:ascii="Helvetica" w:hAnsi="Helvetica" w:cs="Arial"/>
          <w:sz w:val="20"/>
          <w:lang w:val="lt-LT"/>
        </w:rPr>
        <w:t xml:space="preserve"> iš 1–6 punktų arba farmacinė kompozicija</w:t>
      </w:r>
      <w:r w:rsidR="00240BE3" w:rsidRPr="00E35702">
        <w:rPr>
          <w:rFonts w:ascii="Helvetica" w:hAnsi="Helvetica" w:cs="Arial"/>
          <w:sz w:val="20"/>
          <w:lang w:val="lt-LT"/>
        </w:rPr>
        <w:t xml:space="preserve"> pagal</w:t>
      </w:r>
      <w:r w:rsidR="009222AF" w:rsidRPr="00E35702">
        <w:rPr>
          <w:rFonts w:ascii="Helvetica" w:hAnsi="Helvetica" w:cs="Arial"/>
          <w:sz w:val="20"/>
          <w:lang w:val="lt-LT"/>
        </w:rPr>
        <w:t xml:space="preserve"> 7 </w:t>
      </w:r>
      <w:r w:rsidR="00240BE3" w:rsidRPr="00E35702">
        <w:rPr>
          <w:rFonts w:ascii="Helvetica" w:hAnsi="Helvetica" w:cs="Arial"/>
          <w:sz w:val="20"/>
          <w:lang w:val="lt-LT"/>
        </w:rPr>
        <w:t>punktą</w:t>
      </w:r>
      <w:r w:rsidR="009222AF" w:rsidRPr="00E35702">
        <w:rPr>
          <w:rFonts w:ascii="Helvetica" w:hAnsi="Helvetica" w:cs="Arial"/>
          <w:sz w:val="20"/>
          <w:lang w:val="lt-LT"/>
        </w:rPr>
        <w:t xml:space="preserve">, skirta </w:t>
      </w:r>
      <w:r w:rsidR="00240BE3" w:rsidRPr="00E35702">
        <w:rPr>
          <w:rFonts w:ascii="Helvetica" w:hAnsi="Helvetica" w:cs="Arial"/>
          <w:sz w:val="20"/>
          <w:lang w:val="lt-LT"/>
        </w:rPr>
        <w:t xml:space="preserve">naudoti taikant daugybinės mielomos </w:t>
      </w:r>
      <w:r w:rsidR="009222AF" w:rsidRPr="00E35702">
        <w:rPr>
          <w:rFonts w:ascii="Helvetica" w:hAnsi="Helvetica" w:cs="Arial"/>
          <w:sz w:val="20"/>
          <w:lang w:val="lt-LT"/>
        </w:rPr>
        <w:t xml:space="preserve">arba </w:t>
      </w:r>
      <w:r w:rsidR="00240BE3" w:rsidRPr="00E35702">
        <w:rPr>
          <w:rFonts w:ascii="Helvetica" w:hAnsi="Helvetica" w:cs="Arial"/>
          <w:sz w:val="20"/>
          <w:lang w:val="lt-LT"/>
        </w:rPr>
        <w:t xml:space="preserve">kito </w:t>
      </w:r>
      <w:r w:rsidR="009222AF" w:rsidRPr="00E35702">
        <w:rPr>
          <w:rFonts w:ascii="Helvetica" w:hAnsi="Helvetica" w:cs="Arial"/>
          <w:sz w:val="20"/>
          <w:lang w:val="lt-LT"/>
        </w:rPr>
        <w:t xml:space="preserve">BCMA </w:t>
      </w:r>
      <w:proofErr w:type="spellStart"/>
      <w:r w:rsidR="00240BE3" w:rsidRPr="00E3570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="00240BE3" w:rsidRPr="00E35702">
        <w:rPr>
          <w:rFonts w:ascii="Helvetica" w:hAnsi="Helvetica" w:cs="Arial"/>
          <w:sz w:val="20"/>
          <w:lang w:val="lt-LT"/>
        </w:rPr>
        <w:t xml:space="preserve"> </w:t>
      </w:r>
      <w:r w:rsidR="009222AF" w:rsidRPr="00E35702">
        <w:rPr>
          <w:rFonts w:ascii="Helvetica" w:hAnsi="Helvetica" w:cs="Arial"/>
          <w:sz w:val="20"/>
          <w:lang w:val="lt-LT"/>
        </w:rPr>
        <w:t xml:space="preserve">B ląstelių </w:t>
      </w:r>
      <w:r w:rsidR="00240BE3" w:rsidRPr="00E35702">
        <w:rPr>
          <w:rFonts w:ascii="Helvetica" w:hAnsi="Helvetica" w:cs="Arial"/>
          <w:sz w:val="20"/>
          <w:lang w:val="lt-LT"/>
        </w:rPr>
        <w:t>piktybinio naviko gydymo būdą</w:t>
      </w:r>
      <w:r w:rsidR="009222AF" w:rsidRPr="00E35702">
        <w:rPr>
          <w:rFonts w:ascii="Helvetica" w:hAnsi="Helvetica" w:cs="Arial"/>
          <w:sz w:val="20"/>
          <w:lang w:val="lt-LT"/>
        </w:rPr>
        <w:t>.</w:t>
      </w:r>
    </w:p>
    <w:p w14:paraId="06212B82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4FD2734" w14:textId="528F8DF5" w:rsidR="009222AF" w:rsidRPr="00E35702" w:rsidRDefault="008F252C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13.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kompozicija, skirta naudoti pagal 12 punktą, </w:t>
      </w:r>
      <w:r w:rsidR="00240BE3" w:rsidRPr="00E35702">
        <w:rPr>
          <w:rFonts w:ascii="Helvetica" w:hAnsi="Helvetica" w:cs="Arial"/>
          <w:sz w:val="20"/>
          <w:lang w:val="lt-LT"/>
        </w:rPr>
        <w:t xml:space="preserve">kur </w:t>
      </w:r>
      <w:r w:rsidR="009222AF" w:rsidRPr="00E35702">
        <w:rPr>
          <w:rFonts w:ascii="Helvetica" w:hAnsi="Helvetica" w:cs="Arial"/>
          <w:sz w:val="20"/>
          <w:lang w:val="lt-LT"/>
        </w:rPr>
        <w:t xml:space="preserve">BCMA </w:t>
      </w:r>
      <w:proofErr w:type="spellStart"/>
      <w:r w:rsidR="00240BE3" w:rsidRPr="00E35702">
        <w:rPr>
          <w:rFonts w:ascii="Helvetica" w:hAnsi="Helvetica" w:cs="Arial"/>
          <w:sz w:val="20"/>
          <w:lang w:val="lt-LT"/>
        </w:rPr>
        <w:t>ekspresuojantis</w:t>
      </w:r>
      <w:proofErr w:type="spellEnd"/>
      <w:r w:rsidR="00240BE3" w:rsidRPr="00E35702">
        <w:rPr>
          <w:rFonts w:ascii="Helvetica" w:hAnsi="Helvetica" w:cs="Arial"/>
          <w:sz w:val="20"/>
          <w:lang w:val="lt-LT"/>
        </w:rPr>
        <w:t xml:space="preserve"> </w:t>
      </w:r>
      <w:r w:rsidR="009222AF" w:rsidRPr="00E35702">
        <w:rPr>
          <w:rFonts w:ascii="Helvetica" w:hAnsi="Helvetica" w:cs="Arial"/>
          <w:sz w:val="20"/>
          <w:lang w:val="lt-LT"/>
        </w:rPr>
        <w:t xml:space="preserve">B ląstelių piktybinis navikas yra pasirinktas iš grupės, kurią sudaro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Valdenštremo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makroglobulinemija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Burkito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limfoma, difuzinė </w:t>
      </w:r>
      <w:r w:rsidR="00BD7FC4" w:rsidRPr="00E35702">
        <w:rPr>
          <w:rFonts w:ascii="Helvetica" w:hAnsi="Helvetica" w:cs="Arial"/>
          <w:sz w:val="20"/>
          <w:lang w:val="lt-LT"/>
        </w:rPr>
        <w:t xml:space="preserve">didžiųjų </w:t>
      </w:r>
      <w:r w:rsidR="009222AF" w:rsidRPr="00E35702">
        <w:rPr>
          <w:rFonts w:ascii="Helvetica" w:hAnsi="Helvetica" w:cs="Arial"/>
          <w:sz w:val="20"/>
          <w:lang w:val="lt-LT"/>
        </w:rPr>
        <w:t xml:space="preserve">B ląstelių limfoma, ne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Hodžkino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limfoma, lėtinė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limfocitinė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leukemija, folikulinė limfoma, mantijos ląstelių limfoma, marginalinės zonos limfoma,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limfoplazmocitinė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limfoma ir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Hodžkino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limfoma.</w:t>
      </w:r>
    </w:p>
    <w:p w14:paraId="1C1D7F18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ED5C970" w14:textId="29F0D760" w:rsidR="009222AF" w:rsidRPr="00E35702" w:rsidRDefault="002C78DE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14.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kompozicija, skirta naudoti pagal 11, 12 arba 13 punktą, </w:t>
      </w:r>
      <w:r w:rsidR="00BD7FC4" w:rsidRPr="00E35702">
        <w:rPr>
          <w:rFonts w:ascii="Helvetica" w:hAnsi="Helvetica" w:cs="Arial"/>
          <w:sz w:val="20"/>
          <w:lang w:val="lt-LT"/>
        </w:rPr>
        <w:t xml:space="preserve">kur izoliuota </w:t>
      </w:r>
      <w:proofErr w:type="spellStart"/>
      <w:r w:rsidR="00BD7FC4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BD7FC4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</w:t>
      </w:r>
      <w:r w:rsidR="009222AF" w:rsidRPr="00E35702">
        <w:rPr>
          <w:rFonts w:ascii="Helvetica" w:hAnsi="Helvetica" w:cs="Arial"/>
          <w:sz w:val="20"/>
          <w:lang w:val="lt-LT"/>
        </w:rPr>
        <w:t xml:space="preserve"> turi būti skiriama </w:t>
      </w:r>
      <w:r w:rsidR="00BD7FC4" w:rsidRPr="00E35702">
        <w:rPr>
          <w:rFonts w:ascii="Helvetica" w:hAnsi="Helvetica" w:cs="Arial"/>
          <w:sz w:val="20"/>
          <w:lang w:val="lt-LT"/>
        </w:rPr>
        <w:t xml:space="preserve">derinyje </w:t>
      </w:r>
      <w:r w:rsidR="009222AF" w:rsidRPr="00E35702">
        <w:rPr>
          <w:rFonts w:ascii="Helvetica" w:hAnsi="Helvetica" w:cs="Arial"/>
          <w:sz w:val="20"/>
          <w:lang w:val="lt-LT"/>
        </w:rPr>
        <w:t>su antrąja terapine medžiaga arba terapija.</w:t>
      </w:r>
    </w:p>
    <w:p w14:paraId="78BA65BC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A9D9579" w14:textId="722ADC1B" w:rsidR="009222AF" w:rsidRPr="00E35702" w:rsidRDefault="002C78DE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15.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kompozicija, skirta naudoti pagal 14 punktą, </w:t>
      </w:r>
      <w:r w:rsidR="00BD7FC4" w:rsidRPr="00E35702">
        <w:rPr>
          <w:rFonts w:ascii="Helvetica" w:hAnsi="Helvetica" w:cs="Arial"/>
          <w:sz w:val="20"/>
          <w:lang w:val="lt-LT"/>
        </w:rPr>
        <w:t xml:space="preserve">kur </w:t>
      </w:r>
      <w:r w:rsidR="009222AF" w:rsidRPr="00E35702">
        <w:rPr>
          <w:rFonts w:ascii="Helvetica" w:hAnsi="Helvetica" w:cs="Arial"/>
          <w:sz w:val="20"/>
          <w:lang w:val="lt-LT"/>
        </w:rPr>
        <w:t xml:space="preserve">antroji terapinė medžiaga arba terapija apima chemoterapinį vaistą, DNR </w:t>
      </w:r>
      <w:proofErr w:type="spellStart"/>
      <w:r w:rsidR="00BD7FC4" w:rsidRPr="00E35702">
        <w:rPr>
          <w:rFonts w:ascii="Helvetica" w:hAnsi="Helvetica" w:cs="Arial"/>
          <w:sz w:val="20"/>
          <w:lang w:val="lt-LT"/>
        </w:rPr>
        <w:t>alkilinančius</w:t>
      </w:r>
      <w:proofErr w:type="spellEnd"/>
      <w:r w:rsidR="00BD7FC4" w:rsidRPr="00E35702">
        <w:rPr>
          <w:rFonts w:ascii="Helvetica" w:hAnsi="Helvetica" w:cs="Arial"/>
          <w:sz w:val="20"/>
          <w:lang w:val="lt-LT"/>
        </w:rPr>
        <w:t xml:space="preserve"> agentus</w:t>
      </w:r>
      <w:r w:rsidR="009222AF" w:rsidRPr="00E3570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imunomoduliatorius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proteasomų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inhibitorius,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histonų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deacetilazės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inhibitorius, </w:t>
      </w:r>
      <w:r w:rsidR="00BD7FC4" w:rsidRPr="00E35702">
        <w:rPr>
          <w:rFonts w:ascii="Helvetica" w:hAnsi="Helvetica" w:cs="Arial"/>
          <w:sz w:val="20"/>
          <w:lang w:val="lt-LT"/>
        </w:rPr>
        <w:t>spindulinę terapiją</w:t>
      </w:r>
      <w:r w:rsidR="009222AF" w:rsidRPr="00E35702">
        <w:rPr>
          <w:rFonts w:ascii="Helvetica" w:hAnsi="Helvetica" w:cs="Arial"/>
          <w:sz w:val="20"/>
          <w:lang w:val="lt-LT"/>
        </w:rPr>
        <w:t xml:space="preserve">, kamieninių ląstelių transplantaciją, kitokį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bispecifinį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antikūną, kuris sąveikauja su kitokiu naviko ląstelės paviršiaus antigenu ir T ląstelės ar imuninės ląstelės antigenu, antikūno vaisto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konjugatą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bispecifinį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antikūną,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konjuguotą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su </w:t>
      </w:r>
      <w:r w:rsidR="00BD7FC4" w:rsidRPr="00E35702">
        <w:rPr>
          <w:rFonts w:ascii="Helvetica" w:hAnsi="Helvetica" w:cs="Arial"/>
          <w:sz w:val="20"/>
          <w:lang w:val="lt-LT"/>
        </w:rPr>
        <w:t>priešvėžiniu agentu</w:t>
      </w:r>
      <w:r w:rsidR="009222AF" w:rsidRPr="00E35702">
        <w:rPr>
          <w:rFonts w:ascii="Helvetica" w:hAnsi="Helvetica" w:cs="Arial"/>
          <w:sz w:val="20"/>
          <w:lang w:val="lt-LT"/>
        </w:rPr>
        <w:t>, PD-1, PD-L1 ar CTLA-4 kontrolinio taško inhibitoriumi, arba jų derinius.</w:t>
      </w:r>
    </w:p>
    <w:p w14:paraId="567BF559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5A7BF6E2" w14:textId="68CC7FC0" w:rsidR="009222AF" w:rsidRPr="00E35702" w:rsidRDefault="002C78DE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16.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</w:t>
      </w:r>
      <w:r w:rsidR="00BD7FC4" w:rsidRPr="00E35702">
        <w:rPr>
          <w:rFonts w:ascii="Helvetica" w:hAnsi="Helvetica" w:cs="Arial"/>
          <w:sz w:val="20"/>
          <w:lang w:val="lt-LT"/>
        </w:rPr>
        <w:t xml:space="preserve">pagal bet kurį iš 1–6 punktų </w:t>
      </w:r>
      <w:r w:rsidR="009222AF" w:rsidRPr="00E35702">
        <w:rPr>
          <w:rFonts w:ascii="Helvetica" w:hAnsi="Helvetica" w:cs="Arial"/>
          <w:sz w:val="20"/>
          <w:lang w:val="lt-LT"/>
        </w:rPr>
        <w:t>arba farmacinė kompozicija</w:t>
      </w:r>
      <w:r w:rsidR="00BD7FC4" w:rsidRPr="00E35702">
        <w:rPr>
          <w:rFonts w:ascii="Helvetica" w:hAnsi="Helvetica" w:cs="Arial"/>
          <w:sz w:val="20"/>
          <w:lang w:val="lt-LT"/>
        </w:rPr>
        <w:t xml:space="preserve"> pagal 7 punktą</w:t>
      </w:r>
      <w:r w:rsidR="009222AF" w:rsidRPr="00E35702">
        <w:rPr>
          <w:rFonts w:ascii="Helvetica" w:hAnsi="Helvetica" w:cs="Arial"/>
          <w:sz w:val="20"/>
          <w:lang w:val="lt-LT"/>
        </w:rPr>
        <w:t xml:space="preserve">, skirta naudoti </w:t>
      </w:r>
      <w:r w:rsidR="00BD7FC4" w:rsidRPr="00E35702">
        <w:rPr>
          <w:rFonts w:ascii="Helvetica" w:hAnsi="Helvetica" w:cs="Arial"/>
          <w:sz w:val="20"/>
          <w:lang w:val="lt-LT"/>
        </w:rPr>
        <w:t xml:space="preserve">taikant </w:t>
      </w:r>
      <w:r w:rsidR="009222AF" w:rsidRPr="00E35702">
        <w:rPr>
          <w:rFonts w:ascii="Helvetica" w:hAnsi="Helvetica" w:cs="Arial"/>
          <w:sz w:val="20"/>
          <w:lang w:val="lt-LT"/>
        </w:rPr>
        <w:t xml:space="preserve">BCMA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naviko gydymo </w:t>
      </w:r>
      <w:r w:rsidR="00BD7FC4" w:rsidRPr="00E35702">
        <w:rPr>
          <w:rFonts w:ascii="Helvetica" w:hAnsi="Helvetica" w:cs="Arial"/>
          <w:sz w:val="20"/>
          <w:lang w:val="lt-LT"/>
        </w:rPr>
        <w:t>būdą</w:t>
      </w:r>
      <w:r w:rsidR="009222AF" w:rsidRPr="00E35702">
        <w:rPr>
          <w:rFonts w:ascii="Helvetica" w:hAnsi="Helvetica" w:cs="Arial"/>
          <w:sz w:val="20"/>
          <w:lang w:val="lt-LT"/>
        </w:rPr>
        <w:t xml:space="preserve">, </w:t>
      </w:r>
      <w:r w:rsidR="00BD7FC4" w:rsidRPr="00E35702">
        <w:rPr>
          <w:rFonts w:ascii="Helvetica" w:hAnsi="Helvetica" w:cs="Arial"/>
          <w:sz w:val="20"/>
          <w:lang w:val="lt-LT"/>
        </w:rPr>
        <w:t xml:space="preserve">kur izoliuota </w:t>
      </w:r>
      <w:proofErr w:type="spellStart"/>
      <w:r w:rsidR="00BD7FC4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BD7FC4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</w:t>
      </w:r>
      <w:r w:rsidR="009222AF" w:rsidRPr="00E35702">
        <w:rPr>
          <w:rFonts w:ascii="Helvetica" w:hAnsi="Helvetica" w:cs="Arial"/>
          <w:sz w:val="20"/>
          <w:lang w:val="lt-LT"/>
        </w:rPr>
        <w:t xml:space="preserve"> turi būti skiriama</w:t>
      </w:r>
      <w:r w:rsidR="00BD7FC4" w:rsidRPr="00E35702">
        <w:rPr>
          <w:rFonts w:ascii="Helvetica" w:hAnsi="Helvetica" w:cs="Arial"/>
          <w:sz w:val="20"/>
          <w:lang w:val="lt-LT"/>
        </w:rPr>
        <w:t xml:space="preserve"> subjektui</w:t>
      </w:r>
      <w:r w:rsidR="009222AF" w:rsidRPr="00E35702">
        <w:rPr>
          <w:rFonts w:ascii="Helvetica" w:hAnsi="Helvetica" w:cs="Arial"/>
          <w:sz w:val="20"/>
          <w:lang w:val="lt-LT"/>
        </w:rPr>
        <w:t xml:space="preserve"> </w:t>
      </w:r>
      <w:r w:rsidR="00BD7FC4" w:rsidRPr="00E35702">
        <w:rPr>
          <w:rFonts w:ascii="Helvetica" w:hAnsi="Helvetica" w:cs="Arial"/>
          <w:sz w:val="20"/>
          <w:lang w:val="lt-LT"/>
        </w:rPr>
        <w:t xml:space="preserve">derinyje </w:t>
      </w:r>
      <w:r w:rsidR="009222AF" w:rsidRPr="00E35702">
        <w:rPr>
          <w:rFonts w:ascii="Helvetica" w:hAnsi="Helvetica" w:cs="Arial"/>
          <w:sz w:val="20"/>
          <w:lang w:val="lt-LT"/>
        </w:rPr>
        <w:t xml:space="preserve">su anti-PD-1 antikūnu arba antigeną </w:t>
      </w:r>
      <w:r w:rsidR="00BD7FC4" w:rsidRPr="00E35702">
        <w:rPr>
          <w:rFonts w:ascii="Helvetica" w:hAnsi="Helvetica" w:cs="Arial"/>
          <w:sz w:val="20"/>
          <w:lang w:val="lt-LT"/>
        </w:rPr>
        <w:t xml:space="preserve">surišančiu jo </w:t>
      </w:r>
      <w:r w:rsidR="009222AF" w:rsidRPr="00E35702">
        <w:rPr>
          <w:rFonts w:ascii="Helvetica" w:hAnsi="Helvetica" w:cs="Arial"/>
          <w:sz w:val="20"/>
          <w:lang w:val="lt-LT"/>
        </w:rPr>
        <w:t>fragmentu.</w:t>
      </w:r>
    </w:p>
    <w:p w14:paraId="0EE24007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0BB1138" w14:textId="74FE20ED" w:rsidR="009222AF" w:rsidRPr="00E35702" w:rsidRDefault="002C78DE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17.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kompozicija, skirta naudoti pagal 16 punktą, </w:t>
      </w:r>
      <w:r w:rsidR="00BD7FC4" w:rsidRPr="00E35702">
        <w:rPr>
          <w:rFonts w:ascii="Helvetica" w:hAnsi="Helvetica" w:cs="Arial"/>
          <w:sz w:val="20"/>
          <w:lang w:val="lt-LT"/>
        </w:rPr>
        <w:t xml:space="preserve">kur </w:t>
      </w:r>
      <w:r w:rsidR="009222AF" w:rsidRPr="00E35702">
        <w:rPr>
          <w:rFonts w:ascii="Helvetica" w:hAnsi="Helvetica" w:cs="Arial"/>
          <w:sz w:val="20"/>
          <w:lang w:val="lt-LT"/>
        </w:rPr>
        <w:t xml:space="preserve">anti-PD-1 antikūnas arba antigeną </w:t>
      </w:r>
      <w:r w:rsidR="00BD7FC4" w:rsidRPr="00E35702">
        <w:rPr>
          <w:rFonts w:ascii="Helvetica" w:hAnsi="Helvetica" w:cs="Arial"/>
          <w:sz w:val="20"/>
          <w:lang w:val="lt-LT"/>
        </w:rPr>
        <w:t xml:space="preserve">surišantis </w:t>
      </w:r>
      <w:r w:rsidR="009222AF" w:rsidRPr="00E35702">
        <w:rPr>
          <w:rFonts w:ascii="Helvetica" w:hAnsi="Helvetica" w:cs="Arial"/>
          <w:sz w:val="20"/>
          <w:lang w:val="lt-LT"/>
        </w:rPr>
        <w:t>fragmentas yra anti-PD-1 antikūnas.</w:t>
      </w:r>
    </w:p>
    <w:p w14:paraId="738A44D0" w14:textId="77777777" w:rsidR="00E35702" w:rsidRPr="00E35702" w:rsidRDefault="00E35702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03907860" w14:textId="560BFEEF" w:rsidR="009222AF" w:rsidRPr="00E35702" w:rsidRDefault="002C78DE" w:rsidP="00E357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35702">
        <w:rPr>
          <w:rFonts w:ascii="Helvetica" w:hAnsi="Helvetica" w:cs="Arial"/>
          <w:sz w:val="20"/>
          <w:lang w:val="lt-LT"/>
        </w:rPr>
        <w:t xml:space="preserve">18. </w:t>
      </w:r>
      <w:r w:rsidR="009222AF" w:rsidRPr="00E35702">
        <w:rPr>
          <w:rFonts w:ascii="Helvetica" w:hAnsi="Helvetica" w:cs="Arial"/>
          <w:sz w:val="20"/>
          <w:lang w:val="lt-LT"/>
        </w:rPr>
        <w:t xml:space="preserve">Izoliuota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bispecifinė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antigeną surišanti molekulė arba farmacinė kompozicija, skirta naudoti pagal 17 punktą, kur anti-PD-1 antikūnas yra </w:t>
      </w:r>
      <w:proofErr w:type="spellStart"/>
      <w:r w:rsidR="009222AF" w:rsidRPr="00E35702">
        <w:rPr>
          <w:rFonts w:ascii="Helvetica" w:hAnsi="Helvetica" w:cs="Arial"/>
          <w:sz w:val="20"/>
          <w:lang w:val="lt-LT"/>
        </w:rPr>
        <w:t>cemiplimabas</w:t>
      </w:r>
      <w:proofErr w:type="spellEnd"/>
      <w:r w:rsidR="009222AF" w:rsidRPr="00E35702">
        <w:rPr>
          <w:rFonts w:ascii="Helvetica" w:hAnsi="Helvetica" w:cs="Arial"/>
          <w:sz w:val="20"/>
          <w:lang w:val="lt-LT"/>
        </w:rPr>
        <w:t xml:space="preserve"> (REGN2810).</w:t>
      </w:r>
    </w:p>
    <w:sectPr w:rsidR="009222AF" w:rsidRPr="00E35702" w:rsidSect="00E3570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00EC" w14:textId="77777777" w:rsidR="0053419C" w:rsidRDefault="0053419C" w:rsidP="00E35702">
      <w:pPr>
        <w:spacing w:after="0" w:line="240" w:lineRule="auto"/>
      </w:pPr>
      <w:r>
        <w:separator/>
      </w:r>
    </w:p>
  </w:endnote>
  <w:endnote w:type="continuationSeparator" w:id="0">
    <w:p w14:paraId="1E000C3F" w14:textId="77777777" w:rsidR="0053419C" w:rsidRDefault="0053419C" w:rsidP="00E3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E574" w14:textId="77777777" w:rsidR="0053419C" w:rsidRDefault="0053419C" w:rsidP="00E35702">
      <w:pPr>
        <w:spacing w:after="0" w:line="240" w:lineRule="auto"/>
      </w:pPr>
      <w:r>
        <w:separator/>
      </w:r>
    </w:p>
  </w:footnote>
  <w:footnote w:type="continuationSeparator" w:id="0">
    <w:p w14:paraId="495BCD0E" w14:textId="77777777" w:rsidR="0053419C" w:rsidRDefault="0053419C" w:rsidP="00E3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F86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739AF"/>
    <w:multiLevelType w:val="hybridMultilevel"/>
    <w:tmpl w:val="A0EAAE26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1A7812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9565FD"/>
    <w:multiLevelType w:val="hybridMultilevel"/>
    <w:tmpl w:val="6BB8EEF4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7F5061"/>
    <w:multiLevelType w:val="multilevel"/>
    <w:tmpl w:val="C12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250DD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694E5B"/>
    <w:multiLevelType w:val="hybridMultilevel"/>
    <w:tmpl w:val="05EA3970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227504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972482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7A26D9"/>
    <w:multiLevelType w:val="hybridMultilevel"/>
    <w:tmpl w:val="B85E89D8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26332A3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4E85934"/>
    <w:multiLevelType w:val="hybridMultilevel"/>
    <w:tmpl w:val="DD5A7A76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0A65C75"/>
    <w:multiLevelType w:val="hybridMultilevel"/>
    <w:tmpl w:val="F3FE1A52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5568A3"/>
    <w:multiLevelType w:val="hybridMultilevel"/>
    <w:tmpl w:val="A6D83116"/>
    <w:lvl w:ilvl="0" w:tplc="B3D81D34">
      <w:start w:val="1"/>
      <w:numFmt w:val="decimal"/>
      <w:lvlText w:val="%1"/>
      <w:lvlJc w:val="left"/>
      <w:pPr>
        <w:ind w:left="180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A947DED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F6C5DFC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68C28D7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418CB"/>
    <w:multiLevelType w:val="hybridMultilevel"/>
    <w:tmpl w:val="7236021C"/>
    <w:lvl w:ilvl="0" w:tplc="7B88B384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DCF3B86"/>
    <w:multiLevelType w:val="hybridMultilevel"/>
    <w:tmpl w:val="7236021C"/>
    <w:lvl w:ilvl="0" w:tplc="FFFFFFFF">
      <w:start w:val="1"/>
      <w:numFmt w:val="decimal"/>
      <w:lvlText w:val="%1"/>
      <w:lvlJc w:val="left"/>
      <w:pPr>
        <w:ind w:left="12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87113649">
    <w:abstractNumId w:val="4"/>
  </w:num>
  <w:num w:numId="2" w16cid:durableId="1578052378">
    <w:abstractNumId w:val="17"/>
  </w:num>
  <w:num w:numId="3" w16cid:durableId="1028801637">
    <w:abstractNumId w:val="0"/>
  </w:num>
  <w:num w:numId="4" w16cid:durableId="116947226">
    <w:abstractNumId w:val="16"/>
  </w:num>
  <w:num w:numId="5" w16cid:durableId="1534657099">
    <w:abstractNumId w:val="10"/>
  </w:num>
  <w:num w:numId="6" w16cid:durableId="1209100715">
    <w:abstractNumId w:val="14"/>
  </w:num>
  <w:num w:numId="7" w16cid:durableId="1147161385">
    <w:abstractNumId w:val="15"/>
  </w:num>
  <w:num w:numId="8" w16cid:durableId="665472557">
    <w:abstractNumId w:val="2"/>
  </w:num>
  <w:num w:numId="9" w16cid:durableId="1430811216">
    <w:abstractNumId w:val="8"/>
  </w:num>
  <w:num w:numId="10" w16cid:durableId="1956401345">
    <w:abstractNumId w:val="5"/>
  </w:num>
  <w:num w:numId="11" w16cid:durableId="1993872695">
    <w:abstractNumId w:val="7"/>
  </w:num>
  <w:num w:numId="12" w16cid:durableId="1049837635">
    <w:abstractNumId w:val="18"/>
  </w:num>
  <w:num w:numId="13" w16cid:durableId="519197490">
    <w:abstractNumId w:val="12"/>
  </w:num>
  <w:num w:numId="14" w16cid:durableId="261183595">
    <w:abstractNumId w:val="1"/>
  </w:num>
  <w:num w:numId="15" w16cid:durableId="1609659555">
    <w:abstractNumId w:val="9"/>
  </w:num>
  <w:num w:numId="16" w16cid:durableId="596525521">
    <w:abstractNumId w:val="3"/>
  </w:num>
  <w:num w:numId="17" w16cid:durableId="44179474">
    <w:abstractNumId w:val="6"/>
  </w:num>
  <w:num w:numId="18" w16cid:durableId="280958385">
    <w:abstractNumId w:val="11"/>
  </w:num>
  <w:num w:numId="19" w16cid:durableId="1929801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E2"/>
    <w:rsid w:val="00056118"/>
    <w:rsid w:val="000B66A0"/>
    <w:rsid w:val="000C451E"/>
    <w:rsid w:val="00132532"/>
    <w:rsid w:val="001E21F4"/>
    <w:rsid w:val="0020719D"/>
    <w:rsid w:val="002159A2"/>
    <w:rsid w:val="00240BE3"/>
    <w:rsid w:val="0025659C"/>
    <w:rsid w:val="00275497"/>
    <w:rsid w:val="00297CFD"/>
    <w:rsid w:val="002C78DE"/>
    <w:rsid w:val="003B272B"/>
    <w:rsid w:val="003B7940"/>
    <w:rsid w:val="003E666E"/>
    <w:rsid w:val="003E76B8"/>
    <w:rsid w:val="00471215"/>
    <w:rsid w:val="004932DF"/>
    <w:rsid w:val="004A07ED"/>
    <w:rsid w:val="004A4DBB"/>
    <w:rsid w:val="004D29DA"/>
    <w:rsid w:val="00527274"/>
    <w:rsid w:val="0053419C"/>
    <w:rsid w:val="00561D65"/>
    <w:rsid w:val="005C2625"/>
    <w:rsid w:val="005D4154"/>
    <w:rsid w:val="0063109C"/>
    <w:rsid w:val="0068029C"/>
    <w:rsid w:val="006B0568"/>
    <w:rsid w:val="007052AA"/>
    <w:rsid w:val="00791888"/>
    <w:rsid w:val="007C2B5F"/>
    <w:rsid w:val="00837DAB"/>
    <w:rsid w:val="008505B4"/>
    <w:rsid w:val="008531F6"/>
    <w:rsid w:val="008547EB"/>
    <w:rsid w:val="008733A7"/>
    <w:rsid w:val="00881DAA"/>
    <w:rsid w:val="00882A7B"/>
    <w:rsid w:val="008A1CF5"/>
    <w:rsid w:val="008A2FA5"/>
    <w:rsid w:val="008D3204"/>
    <w:rsid w:val="008D6FC2"/>
    <w:rsid w:val="008F252C"/>
    <w:rsid w:val="009222AF"/>
    <w:rsid w:val="00986F7C"/>
    <w:rsid w:val="00994565"/>
    <w:rsid w:val="009C729C"/>
    <w:rsid w:val="00A177E2"/>
    <w:rsid w:val="00A36493"/>
    <w:rsid w:val="00A7535A"/>
    <w:rsid w:val="00AB2875"/>
    <w:rsid w:val="00B025E2"/>
    <w:rsid w:val="00B1380E"/>
    <w:rsid w:val="00BD7FC4"/>
    <w:rsid w:val="00C12751"/>
    <w:rsid w:val="00CB51BE"/>
    <w:rsid w:val="00CD6435"/>
    <w:rsid w:val="00D3327E"/>
    <w:rsid w:val="00D355FA"/>
    <w:rsid w:val="00DB1E7C"/>
    <w:rsid w:val="00E35702"/>
    <w:rsid w:val="00E56BA6"/>
    <w:rsid w:val="00E75854"/>
    <w:rsid w:val="00EC0D4A"/>
    <w:rsid w:val="00EF7291"/>
    <w:rsid w:val="00F1075E"/>
    <w:rsid w:val="00FD1C13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E0DD0"/>
  <w15:chartTrackingRefBased/>
  <w15:docId w15:val="{FA1FE70B-5306-492F-BCF0-96CC085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0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0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0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0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0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0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0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0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0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0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025E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025E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025E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025E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025E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025E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0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0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0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0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0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025E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025E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025E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0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025E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025E2"/>
    <w:rPr>
      <w:b/>
      <w:bCs/>
      <w:smallCaps/>
      <w:color w:val="0F4761" w:themeColor="accent1" w:themeShade="BF"/>
      <w:spacing w:val="5"/>
    </w:rPr>
  </w:style>
  <w:style w:type="paragraph" w:styleId="Pataisymai">
    <w:name w:val="Revision"/>
    <w:hidden/>
    <w:uiPriority w:val="99"/>
    <w:semiHidden/>
    <w:rsid w:val="005D41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357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35702"/>
  </w:style>
  <w:style w:type="paragraph" w:styleId="Porat">
    <w:name w:val="footer"/>
    <w:basedOn w:val="prastasis"/>
    <w:link w:val="PoratDiagrama"/>
    <w:uiPriority w:val="99"/>
    <w:unhideWhenUsed/>
    <w:rsid w:val="00E357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3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744</Words>
  <Characters>4829</Characters>
  <Application>Microsoft Office Word</Application>
  <DocSecurity>0</DocSecurity>
  <Lines>83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Kasparas Gabė</dc:creator>
  <cp:keywords/>
  <dc:description/>
  <cp:lastModifiedBy>Rasa Gurčytė</cp:lastModifiedBy>
  <cp:revision>11</cp:revision>
  <dcterms:created xsi:type="dcterms:W3CDTF">2025-01-23T14:40:00Z</dcterms:created>
  <dcterms:modified xsi:type="dcterms:W3CDTF">2025-02-05T07:17:00Z</dcterms:modified>
</cp:coreProperties>
</file>