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9EB3" w14:textId="77777777"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 xml:space="preserve">1. Miglos </w:t>
      </w:r>
      <w:proofErr w:type="spellStart"/>
      <w:r w:rsidRPr="00B60838">
        <w:rPr>
          <w:rFonts w:ascii="Helvetica" w:hAnsi="Helvetica" w:cs="Times New Roman"/>
          <w:sz w:val="20"/>
          <w:szCs w:val="24"/>
        </w:rPr>
        <w:t>inhaliavimo</w:t>
      </w:r>
      <w:proofErr w:type="spellEnd"/>
      <w:r w:rsidRPr="00B60838">
        <w:rPr>
          <w:rFonts w:ascii="Helvetica" w:hAnsi="Helvetica" w:cs="Times New Roman"/>
          <w:sz w:val="20"/>
          <w:szCs w:val="24"/>
        </w:rPr>
        <w:t xml:space="preserve"> priemonė, generuojanti rūką, kurį įkvepia naudotojas, apimanti:</w:t>
      </w:r>
    </w:p>
    <w:p w14:paraId="68B126A5"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miglos generavimo įtaisą (201), kuriame yra:</w:t>
      </w:r>
    </w:p>
    <w:p w14:paraId="6F247E40"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miglos generavimo korpusas (204) – pailgas ir turintis oro įleidimo angą (207) bei miglos išleidimo angą (208);</w:t>
      </w:r>
    </w:p>
    <w:p w14:paraId="660C562F"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skysčio kamera (218) miglos generavimo korpuse (204), skysčio kamera (218) purškiamam skysčiui laikyti;</w:t>
      </w:r>
    </w:p>
    <w:p w14:paraId="02532983"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ultragarsinio apdorojimo kamera (219) rūko generavimo korpuse (204);</w:t>
      </w:r>
    </w:p>
    <w:p w14:paraId="4B6C314C"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kapiliarinis elementas (222) tarp skysčio kameros (218) ir apdorojimo ultragarsu kameros (219): pirmoji kapiliarinio elemento (222) dalis yra skysčio kameroje (218), o antroji (219) – ultragarsinio apdorojimo kameroje (219);</w:t>
      </w:r>
    </w:p>
    <w:p w14:paraId="10AC1EFC"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ultragarsinis keitiklis (215), turintis plokščią purškimo paviršių ultragarsinio apdorojimo kameroje (219), sumontuotas miglos generavimo korpuse (204) taip, kad purškimo paviršiaus plokštuma eina</w:t>
      </w:r>
    </w:p>
    <w:p w14:paraId="362D6305"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lygiagrečiai išilginei miglos generavimo korpuso (204) kraštinei, o dalis antrosios kapiliarinio elemento (222) srities yra ant purškimo paviršiaus; ultragarsinis keitiklis (215) sukonfigūruotas virpinti purškimo paviršių, kad atomizuotų skystį, kurį išnešioja antroji kapiliarinio elemento (222) sritis, sudarydama miglą iš purškiamo skysčio ir ultragarsinio apdorojimo kameroje (219) esančio oro;</w:t>
      </w:r>
    </w:p>
    <w:p w14:paraId="063C7682" w14:textId="141F6B94"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oro srauto įrenginys, užtikrinantis oro srauto kelią tarp oro įleidimo angos (207), ultragarsinio apdorojimo kameros (219) ir miglos išleidimo angos (208), kad naudotojas, traukiantis orą per miglos išleidimo angą (208), įtrauktų orą per įleidimo angą (207), ultragarsinio apdorojimo kamerą (219) ir miglos išleidimo angą (208), o ultragarsinio apdorojimo kameroje (219) susidariusi migla būtų oru išnešiota pro rūko išleidimo angą (208) ir naudotojas ją galėtų įkvėpti,</w:t>
      </w:r>
      <w:r w:rsidRPr="00B60838">
        <w:rPr>
          <w:rFonts w:ascii="Helvetica" w:hAnsi="Helvetica" w:cs="Times New Roman"/>
          <w:sz w:val="20"/>
          <w:szCs w:val="24"/>
        </w:rPr>
        <w:t xml:space="preserve"> </w:t>
      </w:r>
      <w:r>
        <w:rPr>
          <w:rFonts w:ascii="Helvetica" w:hAnsi="Helvetica" w:cs="Times New Roman"/>
          <w:sz w:val="20"/>
          <w:szCs w:val="24"/>
        </w:rPr>
        <w:t xml:space="preserve"> </w:t>
      </w:r>
      <w:r w:rsidRPr="00B60838">
        <w:rPr>
          <w:rFonts w:ascii="Helvetica" w:hAnsi="Helvetica" w:cs="Times New Roman"/>
          <w:sz w:val="20"/>
          <w:szCs w:val="24"/>
        </w:rPr>
        <w:t>b e s i s k i r i a n t i</w:t>
      </w:r>
      <w:r w:rsidRPr="00B60838">
        <w:rPr>
          <w:rFonts w:ascii="Helvetica" w:hAnsi="Helvetica" w:cs="Times New Roman"/>
          <w:sz w:val="20"/>
          <w:szCs w:val="24"/>
        </w:rPr>
        <w:t xml:space="preserve"> </w:t>
      </w:r>
      <w:r>
        <w:rPr>
          <w:rFonts w:ascii="Helvetica" w:hAnsi="Helvetica" w:cs="Times New Roman"/>
          <w:sz w:val="20"/>
          <w:szCs w:val="24"/>
        </w:rPr>
        <w:t xml:space="preserve"> </w:t>
      </w:r>
      <w:r w:rsidRPr="00B60838">
        <w:rPr>
          <w:rFonts w:ascii="Helvetica" w:hAnsi="Helvetica" w:cs="Times New Roman"/>
          <w:sz w:val="20"/>
          <w:szCs w:val="24"/>
        </w:rPr>
        <w:t xml:space="preserve">tuo, kad miglos </w:t>
      </w:r>
      <w:proofErr w:type="spellStart"/>
      <w:r w:rsidRPr="00B60838">
        <w:rPr>
          <w:rFonts w:ascii="Helvetica" w:hAnsi="Helvetica" w:cs="Times New Roman"/>
          <w:sz w:val="20"/>
          <w:szCs w:val="24"/>
        </w:rPr>
        <w:t>inhaliavimo</w:t>
      </w:r>
      <w:proofErr w:type="spellEnd"/>
      <w:r w:rsidRPr="00B60838">
        <w:rPr>
          <w:rFonts w:ascii="Helvetica" w:hAnsi="Helvetica" w:cs="Times New Roman"/>
          <w:sz w:val="20"/>
          <w:szCs w:val="24"/>
        </w:rPr>
        <w:t xml:space="preserve"> priemonė taip pat apima: </w:t>
      </w:r>
    </w:p>
    <w:p w14:paraId="589B1BD6"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 xml:space="preserve">pavaros įtaisą (202), kuriame yra: </w:t>
      </w:r>
    </w:p>
    <w:p w14:paraId="5187CCF0"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akumuliatorius (250);</w:t>
      </w:r>
    </w:p>
    <w:p w14:paraId="61CDF81D"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kintamosios srovės pavara, skirta akumuliatoriaus įtampai iš anksto nustatytu dažniu konvertuoti į kintamosios srovės pavaros signalą, varantį ultragarsinį keitiklį (215);</w:t>
      </w:r>
    </w:p>
    <w:p w14:paraId="35B46413"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aktyviosios galios stebėjimo įrenginys, skirtas stebėti ultragarsinio keitiklio (215) naudojamą aktyviąją galią, kai ultragarsinį keitiklį (215) varo kintamosios srovės pavaros signalas; aktyviosios galios stebėjimo įrenginys teikia stebėjimo signalą, rodantį, kad ultragarsinis keitiklis (215) naudoja aktyviąją galią;</w:t>
      </w:r>
    </w:p>
    <w:p w14:paraId="64700A30"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procesorius, skirtas valdyti kintamosios srovės pavarą ir priimti stebėjimo signalą iš aktyviosios galios stebėjimo įrenginio;</w:t>
      </w:r>
    </w:p>
    <w:p w14:paraId="3943B2BF"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saugojimo atmintyje instrukcijos, kurias vykdant procesoriui, šis:</w:t>
      </w:r>
    </w:p>
    <w:p w14:paraId="752D2505"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A. valdo kintamosios srovės pavarą, kad ši išsiųstų kintamosios srovės pavaros signalą į ultragarsinį keitiklį (215) iš anksto nustatytu dažniu;</w:t>
      </w:r>
    </w:p>
    <w:p w14:paraId="5FF236A3"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B. pagal stebėjimo signalą apskaičiuoja ultragarsinio keitiklio (215) naudojamą aktyviąją galią;</w:t>
      </w:r>
    </w:p>
    <w:p w14:paraId="6A26F4F0"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C. valdo kintamosios srovės pavarą, kad moduliuotų kintamosios srovės pavaros signalą ir maksimaliai padidintų aktyviąją galią, kurią naudoja ultragarsinis keitiklis (215);</w:t>
      </w:r>
    </w:p>
    <w:p w14:paraId="738F8056"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D. išsaugo atmintyje ultragarsinio keitiklio (215) naudojamos didžiausios aktyviosios galios ir kintamosios srovės pavaros signalo dažnio įrašą;</w:t>
      </w:r>
    </w:p>
    <w:p w14:paraId="633B6BAF"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E. kartoja A–D veiksmus iš anksto nustatytą kartų skaičių, kaskart padidindamas dažnį tiek, kad įvykus iš anksto nustatytam pakartojimų skaičiui, dažnis būtų padidėjęs nuo pradinio iki galutinio;</w:t>
      </w:r>
    </w:p>
    <w:p w14:paraId="799F0FEF"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F. iš atmintyje saugomų įrašų parenka optimalų kintamosios srovės pavaros signalo dažnį, kurį pasiekus ultragarsinis keitiklis (215) naudoja didžiausią aktyviąją galią;</w:t>
      </w:r>
    </w:p>
    <w:p w14:paraId="66332B39" w14:textId="4A9787FC"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G. valdo kintamosios srovės pavarą, kad į ultragarsinį keitiklį (215) būtų optimaliu dažniu išsiųstas kintamosios srovės pavaros signalas, kurį gavęs ultragarsinis keitiklis (215) išpurškia skystį.</w:t>
      </w:r>
    </w:p>
    <w:p w14:paraId="3248A4CA" w14:textId="77777777" w:rsidR="00B60838" w:rsidRPr="00B60838" w:rsidRDefault="00B60838" w:rsidP="00B60838">
      <w:pPr>
        <w:spacing w:after="0" w:line="360" w:lineRule="auto"/>
        <w:jc w:val="both"/>
        <w:rPr>
          <w:rFonts w:ascii="Helvetica" w:hAnsi="Helvetica" w:cs="Times New Roman"/>
          <w:sz w:val="20"/>
          <w:szCs w:val="24"/>
        </w:rPr>
      </w:pPr>
    </w:p>
    <w:p w14:paraId="540E1D05" w14:textId="27E6B5D9"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2. Priemonė pagal 1 punktą, kai pavaros įtaisas (202) yra prijungtas (bet gali būti atjungtas) prie miglos generavimo įtaiso (201) taip, kad pavaros įtaisas (202) gali būti atskirtas nuo miglos generavimo įtaiso (201).</w:t>
      </w:r>
    </w:p>
    <w:p w14:paraId="58DAFEDA" w14:textId="77777777" w:rsidR="00B60838" w:rsidRPr="00B60838" w:rsidRDefault="00B60838" w:rsidP="00B60838">
      <w:pPr>
        <w:spacing w:after="0" w:line="360" w:lineRule="auto"/>
        <w:ind w:firstLine="567"/>
        <w:jc w:val="both"/>
        <w:rPr>
          <w:rFonts w:ascii="Helvetica" w:hAnsi="Helvetica" w:cs="Times New Roman"/>
          <w:sz w:val="20"/>
          <w:szCs w:val="24"/>
        </w:rPr>
      </w:pPr>
    </w:p>
    <w:p w14:paraId="3C7C3790" w14:textId="77777777"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3. Priemonė pagal 1 arba 2 punktą, kuriame kai miglos generavimo įtaisas (201) papildomai apima:</w:t>
      </w:r>
    </w:p>
    <w:p w14:paraId="046C54A0"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keitiklio laikiklį (210), esantį miglos generavimo korpuse (204), keitiklio laikiklis (210), laikantis ultragarsinį keitiklį (215) ir išlaikantis antrąją kapiliarinio elemento (222) sritį ant dalies purškimo paviršiaus;</w:t>
      </w:r>
    </w:p>
    <w:p w14:paraId="4AF73246" w14:textId="646FD3CD"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skirstytuvo sritį (220), kuri sudaro barjerą tarp skysčio kameros (218) ir ultragarsinio apdorojimo kameros (219), kai skirstytuvo sritis (220) apima kapiliarinę angą (221), per kurią eina kapiliarinio elemento (222) pirmosios srities dalis.</w:t>
      </w:r>
    </w:p>
    <w:p w14:paraId="311D3AD0" w14:textId="77777777" w:rsidR="00B60838" w:rsidRPr="00B60838" w:rsidRDefault="00B60838" w:rsidP="00B60838">
      <w:pPr>
        <w:spacing w:after="0" w:line="360" w:lineRule="auto"/>
        <w:jc w:val="both"/>
        <w:rPr>
          <w:rFonts w:ascii="Helvetica" w:hAnsi="Helvetica" w:cs="Times New Roman"/>
          <w:sz w:val="20"/>
          <w:szCs w:val="24"/>
        </w:rPr>
      </w:pPr>
    </w:p>
    <w:p w14:paraId="08509175" w14:textId="1AFB93CA"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4. Priemonė pagal bet kurį iš ankstesnių punktų, kai kapiliarinis elementas (222) apima</w:t>
      </w:r>
      <w:r w:rsidRPr="00B60838">
        <w:rPr>
          <w:rFonts w:ascii="Helvetica" w:hAnsi="Helvetica" w:cs="Times New Roman"/>
          <w:sz w:val="20"/>
          <w:szCs w:val="24"/>
        </w:rPr>
        <w:t xml:space="preserve"> </w:t>
      </w:r>
      <w:r w:rsidRPr="00B60838">
        <w:rPr>
          <w:rFonts w:ascii="Helvetica" w:hAnsi="Helvetica" w:cs="Times New Roman"/>
          <w:sz w:val="20"/>
          <w:szCs w:val="24"/>
        </w:rPr>
        <w:t>pirmąją ir antrąją dalis, kurios yra uždėtos viena ant kitos taip, kad kapiliarinis elementas (222) susideda iš dviejų sluoksnių, ir kai kapiliarinį elementą (222) sudaro ne mažiau kaip 75 proc. bambuko pluošto.</w:t>
      </w:r>
    </w:p>
    <w:p w14:paraId="6946E27F" w14:textId="77777777" w:rsidR="00B60838" w:rsidRPr="00B60838" w:rsidRDefault="00B60838" w:rsidP="00B60838">
      <w:pPr>
        <w:spacing w:after="0" w:line="360" w:lineRule="auto"/>
        <w:ind w:firstLine="567"/>
        <w:jc w:val="both"/>
        <w:rPr>
          <w:rFonts w:ascii="Helvetica" w:hAnsi="Helvetica" w:cs="Times New Roman"/>
          <w:sz w:val="20"/>
          <w:szCs w:val="24"/>
        </w:rPr>
      </w:pPr>
    </w:p>
    <w:p w14:paraId="15E8E9CF" w14:textId="5F6C1E37"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 xml:space="preserve">5. Priemonė pagal bet kurį iš ankstesnių punktų, kai skysčio kameroje (218) yra skystis, kurio kinematinė klampa yra nuo 1,05 </w:t>
      </w:r>
      <w:proofErr w:type="spellStart"/>
      <w:r w:rsidRPr="00B60838">
        <w:rPr>
          <w:rFonts w:ascii="Helvetica" w:hAnsi="Helvetica" w:cs="Times New Roman"/>
          <w:sz w:val="20"/>
          <w:szCs w:val="24"/>
        </w:rPr>
        <w:t>Pa•s</w:t>
      </w:r>
      <w:proofErr w:type="spellEnd"/>
      <w:r w:rsidRPr="00B60838">
        <w:rPr>
          <w:rFonts w:ascii="Helvetica" w:hAnsi="Helvetica" w:cs="Times New Roman"/>
          <w:sz w:val="20"/>
          <w:szCs w:val="24"/>
        </w:rPr>
        <w:t xml:space="preserve"> iki 1,412 </w:t>
      </w:r>
      <w:proofErr w:type="spellStart"/>
      <w:r w:rsidRPr="00B60838">
        <w:rPr>
          <w:rFonts w:ascii="Helvetica" w:hAnsi="Helvetica" w:cs="Times New Roman"/>
          <w:sz w:val="20"/>
          <w:szCs w:val="24"/>
        </w:rPr>
        <w:t>Pa•s</w:t>
      </w:r>
      <w:proofErr w:type="spellEnd"/>
      <w:r w:rsidRPr="00B60838">
        <w:rPr>
          <w:rFonts w:ascii="Helvetica" w:hAnsi="Helvetica" w:cs="Times New Roman"/>
          <w:sz w:val="20"/>
          <w:szCs w:val="24"/>
        </w:rPr>
        <w:t>, o tankis – nuo 1,1 g/ml ir 1,3 g/ml.</w:t>
      </w:r>
    </w:p>
    <w:p w14:paraId="51D01C64" w14:textId="77777777" w:rsidR="00B60838" w:rsidRPr="00B60838" w:rsidRDefault="00B60838" w:rsidP="00B60838">
      <w:pPr>
        <w:spacing w:after="0" w:line="360" w:lineRule="auto"/>
        <w:ind w:firstLine="567"/>
        <w:jc w:val="both"/>
        <w:rPr>
          <w:rFonts w:ascii="Helvetica" w:hAnsi="Helvetica" w:cs="Times New Roman"/>
          <w:sz w:val="20"/>
          <w:szCs w:val="24"/>
        </w:rPr>
      </w:pPr>
    </w:p>
    <w:p w14:paraId="235E556F" w14:textId="743F7A3A"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6. Priemonė pagal bet kurį iš ankstesnių punktų, kai miglos generavimo priemonė (201) papildomai</w:t>
      </w:r>
      <w:r w:rsidRPr="00B60838">
        <w:rPr>
          <w:rFonts w:ascii="Helvetica" w:hAnsi="Helvetica" w:cs="Times New Roman"/>
          <w:sz w:val="20"/>
          <w:szCs w:val="24"/>
        </w:rPr>
        <w:t xml:space="preserve"> </w:t>
      </w:r>
      <w:r w:rsidRPr="00B60838">
        <w:rPr>
          <w:rFonts w:ascii="Helvetica" w:hAnsi="Helvetica" w:cs="Times New Roman"/>
          <w:sz w:val="20"/>
          <w:szCs w:val="24"/>
        </w:rPr>
        <w:t>apima:</w:t>
      </w:r>
    </w:p>
    <w:p w14:paraId="750055BE" w14:textId="77777777"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identifikavimo įrenginį (239) ant miglos generavimo korpuso (204), identifikavimo įrenginys (239), apima:</w:t>
      </w:r>
    </w:p>
    <w:p w14:paraId="28E652BC" w14:textId="77777777" w:rsidR="00B60838" w:rsidRPr="00B60838" w:rsidRDefault="00B60838" w:rsidP="00B60838">
      <w:pPr>
        <w:spacing w:after="0" w:line="360" w:lineRule="auto"/>
        <w:jc w:val="both"/>
        <w:rPr>
          <w:rFonts w:ascii="Helvetica" w:hAnsi="Helvetica" w:cs="Times New Roman"/>
          <w:sz w:val="20"/>
          <w:szCs w:val="24"/>
        </w:rPr>
      </w:pPr>
      <w:proofErr w:type="spellStart"/>
      <w:r w:rsidRPr="00B60838">
        <w:rPr>
          <w:rFonts w:ascii="Helvetica" w:hAnsi="Helvetica" w:cs="Times New Roman"/>
          <w:sz w:val="20"/>
          <w:szCs w:val="24"/>
        </w:rPr>
        <w:t>integrinį</w:t>
      </w:r>
      <w:proofErr w:type="spellEnd"/>
      <w:r w:rsidRPr="00B60838">
        <w:rPr>
          <w:rFonts w:ascii="Helvetica" w:hAnsi="Helvetica" w:cs="Times New Roman"/>
          <w:sz w:val="20"/>
          <w:szCs w:val="24"/>
        </w:rPr>
        <w:t xml:space="preserve"> </w:t>
      </w:r>
      <w:proofErr w:type="spellStart"/>
      <w:r w:rsidRPr="00B60838">
        <w:rPr>
          <w:rFonts w:ascii="Helvetica" w:hAnsi="Helvetica" w:cs="Times New Roman"/>
          <w:sz w:val="20"/>
          <w:szCs w:val="24"/>
        </w:rPr>
        <w:t>grandyną</w:t>
      </w:r>
      <w:proofErr w:type="spellEnd"/>
      <w:r w:rsidRPr="00B60838">
        <w:rPr>
          <w:rFonts w:ascii="Helvetica" w:hAnsi="Helvetica" w:cs="Times New Roman"/>
          <w:sz w:val="20"/>
          <w:szCs w:val="24"/>
        </w:rPr>
        <w:t xml:space="preserve"> (242), kurio atmintyje saugomas unikalus miglos generavimo įrenginio (201) identifikatorius;</w:t>
      </w:r>
    </w:p>
    <w:p w14:paraId="2700C1C0" w14:textId="37DDFE32"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 xml:space="preserve">elektros jungtį (241), suteikiančią prieigą prie elektroninės sąsajos ryšiui su </w:t>
      </w:r>
      <w:proofErr w:type="spellStart"/>
      <w:r w:rsidRPr="00B60838">
        <w:rPr>
          <w:rFonts w:ascii="Helvetica" w:hAnsi="Helvetica" w:cs="Times New Roman"/>
          <w:sz w:val="20"/>
          <w:szCs w:val="24"/>
        </w:rPr>
        <w:t>integriniu</w:t>
      </w:r>
      <w:proofErr w:type="spellEnd"/>
      <w:r w:rsidRPr="00B60838">
        <w:rPr>
          <w:rFonts w:ascii="Helvetica" w:hAnsi="Helvetica" w:cs="Times New Roman"/>
          <w:sz w:val="20"/>
          <w:szCs w:val="24"/>
        </w:rPr>
        <w:t xml:space="preserve"> </w:t>
      </w:r>
      <w:proofErr w:type="spellStart"/>
      <w:r w:rsidRPr="00B60838">
        <w:rPr>
          <w:rFonts w:ascii="Helvetica" w:hAnsi="Helvetica" w:cs="Times New Roman"/>
          <w:sz w:val="20"/>
          <w:szCs w:val="24"/>
        </w:rPr>
        <w:t>grandynu</w:t>
      </w:r>
      <w:proofErr w:type="spellEnd"/>
      <w:r w:rsidRPr="00B60838">
        <w:rPr>
          <w:rFonts w:ascii="Helvetica" w:hAnsi="Helvetica" w:cs="Times New Roman"/>
          <w:sz w:val="20"/>
          <w:szCs w:val="24"/>
        </w:rPr>
        <w:t xml:space="preserve"> (242) palaikyti.</w:t>
      </w:r>
    </w:p>
    <w:p w14:paraId="5A6DA425" w14:textId="77777777" w:rsidR="00B60838" w:rsidRPr="00B60838" w:rsidRDefault="00B60838" w:rsidP="00B60838">
      <w:pPr>
        <w:spacing w:after="0" w:line="360" w:lineRule="auto"/>
        <w:jc w:val="both"/>
        <w:rPr>
          <w:rFonts w:ascii="Helvetica" w:hAnsi="Helvetica" w:cs="Times New Roman"/>
          <w:sz w:val="20"/>
          <w:szCs w:val="24"/>
        </w:rPr>
      </w:pPr>
    </w:p>
    <w:p w14:paraId="6315B937" w14:textId="77777777"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7. Priemonė pagal bet kurį iš ankstesnių punktų, kai aktyviosios galios stebėjimo įrenginys apima:</w:t>
      </w:r>
    </w:p>
    <w:p w14:paraId="536F6459" w14:textId="3B3F136E"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srovės jutimo įrenginį kintamosios srovės pavaros signalo, varančio ultragarsinį keitiklį (215), pavaros srovei aptikti, kai aktyviosios galios stebėjimo įrenginys siunčia stebėjimo signalą, kuris rodo aptinkamą pavaros srovę.</w:t>
      </w:r>
    </w:p>
    <w:p w14:paraId="7DD943B1" w14:textId="77777777" w:rsidR="00B60838" w:rsidRPr="00B60838" w:rsidRDefault="00B60838" w:rsidP="00B60838">
      <w:pPr>
        <w:spacing w:after="0" w:line="360" w:lineRule="auto"/>
        <w:jc w:val="both"/>
        <w:rPr>
          <w:rFonts w:ascii="Helvetica" w:hAnsi="Helvetica" w:cs="Times New Roman"/>
          <w:sz w:val="20"/>
          <w:szCs w:val="24"/>
        </w:rPr>
      </w:pPr>
    </w:p>
    <w:p w14:paraId="73697D5A" w14:textId="77777777"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8. Priemonė pagal 7 punktą, kai srovės jutimo įrenginys apima:</w:t>
      </w:r>
    </w:p>
    <w:p w14:paraId="30FAC96D" w14:textId="1306CA40"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analoginį-skaitmeninį keitiklį, kuris paverčia aptinkamą pavaros srovę procesoriaus apdorojamu skaitmeniniu signalu.</w:t>
      </w:r>
    </w:p>
    <w:p w14:paraId="0689B0ED" w14:textId="77777777" w:rsidR="00B60838" w:rsidRPr="00B60838" w:rsidRDefault="00B60838" w:rsidP="00B60838">
      <w:pPr>
        <w:spacing w:after="0" w:line="360" w:lineRule="auto"/>
        <w:jc w:val="both"/>
        <w:rPr>
          <w:rFonts w:ascii="Helvetica" w:hAnsi="Helvetica" w:cs="Times New Roman"/>
          <w:sz w:val="20"/>
          <w:szCs w:val="24"/>
        </w:rPr>
      </w:pPr>
    </w:p>
    <w:p w14:paraId="200E2B73" w14:textId="77777777"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9. Priemonė pagal bet kurį iš ankstesnių punktų, kai atmintyje saugomos instrukcijos, kurias vykdant procesoriui, šis:</w:t>
      </w:r>
    </w:p>
    <w:p w14:paraId="5AA58DE1" w14:textId="6B5525FF"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 xml:space="preserve">kartoja A–D veiksmus, didindamas dažnį nuo 30 pradinio 2900 </w:t>
      </w:r>
      <w:proofErr w:type="spellStart"/>
      <w:r w:rsidRPr="00B60838">
        <w:rPr>
          <w:rFonts w:ascii="Helvetica" w:hAnsi="Helvetica" w:cs="Times New Roman"/>
          <w:sz w:val="20"/>
          <w:szCs w:val="24"/>
        </w:rPr>
        <w:t>kHz</w:t>
      </w:r>
      <w:proofErr w:type="spellEnd"/>
      <w:r w:rsidRPr="00B60838">
        <w:rPr>
          <w:rFonts w:ascii="Helvetica" w:hAnsi="Helvetica" w:cs="Times New Roman"/>
          <w:sz w:val="20"/>
          <w:szCs w:val="24"/>
        </w:rPr>
        <w:t xml:space="preserve"> iki galutinio 3100 </w:t>
      </w:r>
      <w:proofErr w:type="spellStart"/>
      <w:r w:rsidRPr="00B60838">
        <w:rPr>
          <w:rFonts w:ascii="Helvetica" w:hAnsi="Helvetica" w:cs="Times New Roman"/>
          <w:sz w:val="20"/>
          <w:szCs w:val="24"/>
        </w:rPr>
        <w:t>kHz</w:t>
      </w:r>
      <w:proofErr w:type="spellEnd"/>
      <w:r w:rsidRPr="00B60838">
        <w:rPr>
          <w:rFonts w:ascii="Helvetica" w:hAnsi="Helvetica" w:cs="Times New Roman"/>
          <w:sz w:val="20"/>
          <w:szCs w:val="24"/>
        </w:rPr>
        <w:t xml:space="preserve">. </w:t>
      </w:r>
    </w:p>
    <w:p w14:paraId="3C9FA6CA" w14:textId="77777777" w:rsidR="00B60838" w:rsidRPr="00B60838" w:rsidRDefault="00B60838" w:rsidP="00B60838">
      <w:pPr>
        <w:spacing w:after="0" w:line="360" w:lineRule="auto"/>
        <w:jc w:val="both"/>
        <w:rPr>
          <w:rFonts w:ascii="Helvetica" w:hAnsi="Helvetica" w:cs="Times New Roman"/>
          <w:sz w:val="20"/>
          <w:szCs w:val="24"/>
        </w:rPr>
      </w:pPr>
    </w:p>
    <w:p w14:paraId="1C40C5EF" w14:textId="77777777"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10. Priemonė pagal 9 punktą, kai atmintyje saugomos instrukcijos, kurias vykdant procesoriui, šis:</w:t>
      </w:r>
    </w:p>
    <w:p w14:paraId="7BF62974" w14:textId="53CE76A9"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 xml:space="preserve">kartoja A–D veiksmus, didindamas dažnį nuo 35 pradinio 2900 </w:t>
      </w:r>
      <w:proofErr w:type="spellStart"/>
      <w:r w:rsidRPr="00B60838">
        <w:rPr>
          <w:rFonts w:ascii="Helvetica" w:hAnsi="Helvetica" w:cs="Times New Roman"/>
          <w:sz w:val="20"/>
          <w:szCs w:val="24"/>
        </w:rPr>
        <w:t>kHz</w:t>
      </w:r>
      <w:proofErr w:type="spellEnd"/>
      <w:r w:rsidRPr="00B60838">
        <w:rPr>
          <w:rFonts w:ascii="Helvetica" w:hAnsi="Helvetica" w:cs="Times New Roman"/>
          <w:sz w:val="20"/>
          <w:szCs w:val="24"/>
        </w:rPr>
        <w:t xml:space="preserve"> iki galutinio 12960 </w:t>
      </w:r>
      <w:proofErr w:type="spellStart"/>
      <w:r w:rsidRPr="00B60838">
        <w:rPr>
          <w:rFonts w:ascii="Helvetica" w:hAnsi="Helvetica" w:cs="Times New Roman"/>
          <w:sz w:val="20"/>
          <w:szCs w:val="24"/>
        </w:rPr>
        <w:t>kHz</w:t>
      </w:r>
      <w:proofErr w:type="spellEnd"/>
      <w:r w:rsidRPr="00B60838">
        <w:rPr>
          <w:rFonts w:ascii="Helvetica" w:hAnsi="Helvetica" w:cs="Times New Roman"/>
          <w:sz w:val="20"/>
          <w:szCs w:val="24"/>
        </w:rPr>
        <w:t xml:space="preserve">. </w:t>
      </w:r>
    </w:p>
    <w:p w14:paraId="32AB2516" w14:textId="77777777" w:rsidR="00B60838" w:rsidRPr="00B60838" w:rsidRDefault="00B60838" w:rsidP="00B60838">
      <w:pPr>
        <w:spacing w:after="0" w:line="360" w:lineRule="auto"/>
        <w:jc w:val="both"/>
        <w:rPr>
          <w:rFonts w:ascii="Helvetica" w:hAnsi="Helvetica" w:cs="Times New Roman"/>
          <w:sz w:val="20"/>
          <w:szCs w:val="24"/>
        </w:rPr>
      </w:pPr>
    </w:p>
    <w:p w14:paraId="2DA139DB" w14:textId="77777777"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lastRenderedPageBreak/>
        <w:t>11. Priemonė pagal bet kurį iš ankstesnių punktų, kai atmintyje saugomos instrukcijos, kurias vykdant procesoriui, šis:</w:t>
      </w:r>
    </w:p>
    <w:p w14:paraId="1D3563FF" w14:textId="6ABA81D9"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G žingsnyje valdo kintamosios srovės pavarą, kad ši išsiųstų kintamosios srovės pavaros signalą į ultragarsinį keitiklį (215) tokiu dažniu, kuris pakoreguojamas nuo optimalaus iš anksto nustatytu dydžiu.</w:t>
      </w:r>
    </w:p>
    <w:p w14:paraId="10145F44" w14:textId="77777777" w:rsidR="00B60838" w:rsidRPr="00B60838" w:rsidRDefault="00B60838" w:rsidP="00B60838">
      <w:pPr>
        <w:spacing w:after="0" w:line="360" w:lineRule="auto"/>
        <w:jc w:val="both"/>
        <w:rPr>
          <w:rFonts w:ascii="Helvetica" w:hAnsi="Helvetica" w:cs="Times New Roman"/>
          <w:sz w:val="20"/>
          <w:szCs w:val="24"/>
        </w:rPr>
      </w:pPr>
    </w:p>
    <w:p w14:paraId="2449F485" w14:textId="77777777"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12. Priemonė pagal bet kurį iš ankstesnių punktų, kai pavaros įtaisas papildomai apima:</w:t>
      </w:r>
    </w:p>
    <w:p w14:paraId="443665B6" w14:textId="789769B9"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slėgio jutiklį oro srautui išilgai pavaros įtaiso srauto maršruto, einančio per pavaros įtaisą (202), fiksuoti.</w:t>
      </w:r>
    </w:p>
    <w:p w14:paraId="63BFDCFC" w14:textId="77777777" w:rsidR="00B60838" w:rsidRPr="00B60838" w:rsidRDefault="00B60838" w:rsidP="00B60838">
      <w:pPr>
        <w:spacing w:after="0" w:line="360" w:lineRule="auto"/>
        <w:jc w:val="both"/>
        <w:rPr>
          <w:rFonts w:ascii="Helvetica" w:hAnsi="Helvetica" w:cs="Times New Roman"/>
          <w:sz w:val="20"/>
          <w:szCs w:val="24"/>
        </w:rPr>
      </w:pPr>
    </w:p>
    <w:p w14:paraId="75E8D752" w14:textId="77777777"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13. Priemonė pagal bet kurį iš ankstesnių punktų, kai pavaros įtaisas papildomai apima :</w:t>
      </w:r>
    </w:p>
    <w:p w14:paraId="00996DB0" w14:textId="528D9646"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belaidžio ryšio sistemą, kuri palaiko ryšį su procesoriumi ir yra sukonfigūruota perduoti ir priimti duomenis tarp pavaros įtaiso (202) ir skaičiavimo įtaiso.</w:t>
      </w:r>
    </w:p>
    <w:p w14:paraId="1CCAD665" w14:textId="77777777" w:rsidR="00B60838" w:rsidRPr="00B60838" w:rsidRDefault="00B60838" w:rsidP="00B60838">
      <w:pPr>
        <w:spacing w:after="0" w:line="360" w:lineRule="auto"/>
        <w:jc w:val="both"/>
        <w:rPr>
          <w:rFonts w:ascii="Helvetica" w:hAnsi="Helvetica" w:cs="Times New Roman"/>
          <w:sz w:val="20"/>
          <w:szCs w:val="24"/>
        </w:rPr>
      </w:pPr>
    </w:p>
    <w:p w14:paraId="1911A705" w14:textId="77777777" w:rsidR="00B60838"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14. Priemonė pagal bet kurį iš ankstesnių punktų, kai pavaros įtaisas (202) papildomai apima:</w:t>
      </w:r>
    </w:p>
    <w:p w14:paraId="5541397E" w14:textId="2C8FA7CD" w:rsidR="00B60838" w:rsidRPr="00B60838" w:rsidRDefault="00B60838" w:rsidP="00B60838">
      <w:pPr>
        <w:spacing w:after="0" w:line="360" w:lineRule="auto"/>
        <w:jc w:val="both"/>
        <w:rPr>
          <w:rFonts w:ascii="Helvetica" w:hAnsi="Helvetica" w:cs="Times New Roman"/>
          <w:sz w:val="20"/>
          <w:szCs w:val="24"/>
        </w:rPr>
      </w:pPr>
      <w:r w:rsidRPr="00B60838">
        <w:rPr>
          <w:rFonts w:ascii="Helvetica" w:hAnsi="Helvetica" w:cs="Times New Roman"/>
          <w:sz w:val="20"/>
          <w:szCs w:val="24"/>
        </w:rPr>
        <w:t>pavaros įtaiso korpusą (246), bent iš dalies pagamintą iš metalo ir viduje turintį akumuliatorių (250), procesorių, atmintį, aktyviosios galios stebėjimo įrenginį ir kintamosios srovės pavarą, taip pat įdubą (203) miglos generavimo įtaiso (201) daliai priimti ir laikyti.</w:t>
      </w:r>
    </w:p>
    <w:p w14:paraId="1E252569" w14:textId="77777777" w:rsidR="00B60838" w:rsidRPr="00B60838" w:rsidRDefault="00B60838" w:rsidP="00B60838">
      <w:pPr>
        <w:spacing w:after="0" w:line="360" w:lineRule="auto"/>
        <w:jc w:val="both"/>
        <w:rPr>
          <w:rFonts w:ascii="Helvetica" w:hAnsi="Helvetica" w:cs="Times New Roman"/>
          <w:sz w:val="20"/>
          <w:szCs w:val="24"/>
        </w:rPr>
      </w:pPr>
    </w:p>
    <w:p w14:paraId="6E9E1B2C" w14:textId="42477179" w:rsidR="0018473C" w:rsidRPr="00B60838" w:rsidRDefault="00B60838" w:rsidP="00B60838">
      <w:pPr>
        <w:spacing w:after="0" w:line="360" w:lineRule="auto"/>
        <w:ind w:firstLine="567"/>
        <w:jc w:val="both"/>
        <w:rPr>
          <w:rFonts w:ascii="Helvetica" w:hAnsi="Helvetica" w:cs="Times New Roman"/>
          <w:sz w:val="20"/>
          <w:szCs w:val="24"/>
        </w:rPr>
      </w:pPr>
      <w:r w:rsidRPr="00B60838">
        <w:rPr>
          <w:rFonts w:ascii="Helvetica" w:hAnsi="Helvetica" w:cs="Times New Roman"/>
          <w:sz w:val="20"/>
          <w:szCs w:val="24"/>
        </w:rPr>
        <w:t>15. Priemonė pagal bet kurį iš ankstesnių punktų, kai kintamosios srovės pavara moduliuoja kintamosios srovės pavaros signalą taikydama impulso pločio moduliavimą, kad maksimaliai padidintų aktyviąją galią, kurią naudoja ultragarsinis keitiklis (215).</w:t>
      </w:r>
    </w:p>
    <w:sectPr w:rsidR="0018473C" w:rsidRPr="00B60838" w:rsidSect="00B60838">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6DAD" w14:textId="77777777" w:rsidR="00B60838" w:rsidRDefault="00B60838" w:rsidP="00B60838">
      <w:pPr>
        <w:spacing w:after="0" w:line="240" w:lineRule="auto"/>
      </w:pPr>
      <w:r>
        <w:separator/>
      </w:r>
    </w:p>
  </w:endnote>
  <w:endnote w:type="continuationSeparator" w:id="0">
    <w:p w14:paraId="0EC92CA4" w14:textId="77777777" w:rsidR="00B60838" w:rsidRDefault="00B60838" w:rsidP="00B6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3874" w14:textId="77777777" w:rsidR="00B60838" w:rsidRDefault="00B60838" w:rsidP="00B60838">
      <w:pPr>
        <w:spacing w:after="0" w:line="240" w:lineRule="auto"/>
      </w:pPr>
      <w:r>
        <w:separator/>
      </w:r>
    </w:p>
  </w:footnote>
  <w:footnote w:type="continuationSeparator" w:id="0">
    <w:p w14:paraId="2D17B9CF" w14:textId="77777777" w:rsidR="00B60838" w:rsidRDefault="00B60838" w:rsidP="00B608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38"/>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0838"/>
    <w:rsid w:val="00B63A7F"/>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D754C"/>
  <w15:chartTrackingRefBased/>
  <w15:docId w15:val="{B0B7B27B-A9D2-4A83-8C70-5F58538F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838"/>
    <w:pPr>
      <w:tabs>
        <w:tab w:val="center" w:pos="4819"/>
        <w:tab w:val="right" w:pos="9638"/>
      </w:tabs>
      <w:spacing w:after="0" w:line="240" w:lineRule="auto"/>
    </w:pPr>
  </w:style>
  <w:style w:type="character" w:customStyle="1" w:styleId="HeaderChar">
    <w:name w:val="Header Char"/>
    <w:basedOn w:val="DefaultParagraphFont"/>
    <w:link w:val="Header"/>
    <w:uiPriority w:val="99"/>
    <w:rsid w:val="00B60838"/>
  </w:style>
  <w:style w:type="paragraph" w:styleId="Footer">
    <w:name w:val="footer"/>
    <w:basedOn w:val="Normal"/>
    <w:link w:val="FooterChar"/>
    <w:uiPriority w:val="99"/>
    <w:unhideWhenUsed/>
    <w:rsid w:val="00B60838"/>
    <w:pPr>
      <w:tabs>
        <w:tab w:val="center" w:pos="4819"/>
        <w:tab w:val="right" w:pos="9638"/>
      </w:tabs>
      <w:spacing w:after="0" w:line="240" w:lineRule="auto"/>
    </w:pPr>
  </w:style>
  <w:style w:type="character" w:customStyle="1" w:styleId="FooterChar">
    <w:name w:val="Footer Char"/>
    <w:basedOn w:val="DefaultParagraphFont"/>
    <w:link w:val="Footer"/>
    <w:uiPriority w:val="99"/>
    <w:rsid w:val="00B6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1013</Words>
  <Characters>6652</Characters>
  <Application>Microsoft Office Word</Application>
  <DocSecurity>0</DocSecurity>
  <Lines>110</Lines>
  <Paragraphs>58</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1</cp:revision>
  <dcterms:created xsi:type="dcterms:W3CDTF">2022-09-29T11:21:00Z</dcterms:created>
  <dcterms:modified xsi:type="dcterms:W3CDTF">2022-09-29T11:26:00Z</dcterms:modified>
</cp:coreProperties>
</file>