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5B49" w14:textId="77777777" w:rsidR="00BE2F45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FGF23, skirtas naudoti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taikant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naviko sukeltos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osteomalazijos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(TIO)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gydymo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būdą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šis būdas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62133506"/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prieš </w:t>
      </w:r>
      <w:bookmarkEnd w:id="0"/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veiksmingo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>kiekio skyrimą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žmog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, kuriam reikalingas toks gydymas, kur </w:t>
      </w:r>
      <w:bookmarkStart w:id="1" w:name="_Hlk62133610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minėtas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bookmarkEnd w:id="1"/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 yra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įved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amas po oda kas dvi savaites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 minėtas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apima kintamą sunkiosios grandinės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nulemiančią sritį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1 (CDR H1),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apimančią seką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511EC7" w:rsidRPr="00045AA8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1, kintamą sunkiosios grandinės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nulemian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čią sritį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2 (CDR H2),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apimančią seką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511EC7" w:rsidRPr="00045AA8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2, kintamą sunkiosios grandinės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nulemian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čią sritį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3 (CDR H3),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apimančią seką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511EC7" w:rsidRPr="00045AA8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3, kintamą lengvosios grandinės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nulemian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čią sritį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1 (CDR L1), kuri apima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seką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511EC7" w:rsidRPr="00045AA8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4, kintamą lengvosios grandinės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nulemia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nčią sritį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2 (CDR L2), kuri apima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seką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511EC7" w:rsidRPr="00045AA8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5, ir kintamą lengvosios grandinės </w:t>
      </w:r>
      <w:proofErr w:type="spellStart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nulemian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>čią sritį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3 (CDR L3), kuri apima 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seką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</w:t>
      </w:r>
      <w:r w:rsidR="00511EC7" w:rsidRPr="00045AA8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056AD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. </w:t>
      </w:r>
      <w:r w:rsidR="00EA0E84" w:rsidRPr="00045AA8">
        <w:rPr>
          <w:rFonts w:ascii="Helvetica" w:eastAsia="Times New Roman" w:hAnsi="Helvetica" w:cs="Arial"/>
          <w:sz w:val="20"/>
          <w:szCs w:val="24"/>
          <w:lang w:eastAsia="lt-LT"/>
        </w:rPr>
        <w:t>6.</w:t>
      </w:r>
    </w:p>
    <w:p w14:paraId="6F02FB39" w14:textId="77777777" w:rsidR="00A26607" w:rsidRPr="00045AA8" w:rsidRDefault="00A26607" w:rsidP="00045AA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06CB5B6" w14:textId="77777777" w:rsidR="00A26607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FGF23, skirtas naudoti pagal 1 punktą, kur </w:t>
      </w:r>
      <w:bookmarkStart w:id="2" w:name="_Hlk62133538"/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prieš </w:t>
      </w:r>
      <w:bookmarkEnd w:id="2"/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FGF23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sunkioji grandinė apima seką </w:t>
      </w:r>
      <w:bookmarkStart w:id="3" w:name="_Hlk62134362"/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Nr. 7.</w:t>
      </w:r>
    </w:p>
    <w:p w14:paraId="4583F8A2" w14:textId="77777777" w:rsidR="00045AA8" w:rsidRPr="00045AA8" w:rsidRDefault="00045AA8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bookmarkEnd w:id="3"/>
    <w:p w14:paraId="72E63FCE" w14:textId="77777777" w:rsidR="00A26607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3.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FGF23, skirtas naudoti pagal 1 punktą, kur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FGF23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lengvoji grandinė apima seką SEQ ID Nr. 8.</w:t>
      </w:r>
    </w:p>
    <w:p w14:paraId="062AC3B1" w14:textId="77777777" w:rsidR="00BE2F45" w:rsidRPr="00045AA8" w:rsidRDefault="00BE2F45" w:rsidP="00045AA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1A20889" w14:textId="77777777" w:rsidR="00A26607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FGF23, skirtas naudoti pagal 1 punktą, kur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antikūno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FGF23 sunkioji grandinė apima</w:t>
      </w:r>
      <w:r w:rsidR="00A26607" w:rsidRPr="00045AA8">
        <w:rPr>
          <w:rFonts w:ascii="Helvetica" w:hAnsi="Helvetica"/>
          <w:sz w:val="20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seką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7, o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 prieš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FGF23 lengvoji grandinė</w:t>
      </w:r>
      <w:r w:rsidR="00A26607" w:rsidRPr="00045AA8">
        <w:rPr>
          <w:rFonts w:ascii="Helvetica" w:hAnsi="Helvetica"/>
          <w:sz w:val="20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apima </w:t>
      </w:r>
      <w:r w:rsidR="00236A7B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seką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SEQ ID Nr. 8.</w:t>
      </w:r>
    </w:p>
    <w:p w14:paraId="302E4231" w14:textId="77777777" w:rsidR="00045AA8" w:rsidRPr="00045AA8" w:rsidRDefault="00045AA8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9AE2425" w14:textId="77777777" w:rsidR="00BE2F45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FGF23, skirtas naudoti pagal 1 punktą, kur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FGF23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yra skiriamas su </w:t>
      </w:r>
      <w:r w:rsidR="00236A7B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farmaciniu požiūriu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priimtinu nešikliu.</w:t>
      </w:r>
    </w:p>
    <w:p w14:paraId="28AD912F" w14:textId="77777777" w:rsidR="00A26607" w:rsidRPr="00045AA8" w:rsidRDefault="00A26607" w:rsidP="00045AA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5A787BA" w14:textId="77777777" w:rsidR="00236A7B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prieš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 FGF23, skirtas naudoti pagal 1 punktą, kur subjektas yra </w:t>
      </w:r>
      <w:r w:rsidR="00236A7B" w:rsidRPr="00045AA8">
        <w:rPr>
          <w:rFonts w:ascii="Helvetica" w:eastAsia="Times New Roman" w:hAnsi="Helvetica" w:cs="Arial"/>
          <w:sz w:val="20"/>
          <w:szCs w:val="24"/>
          <w:lang w:eastAsia="lt-LT"/>
        </w:rPr>
        <w:t>pediatrinis subjektas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70EA145" w14:textId="77777777" w:rsidR="00045AA8" w:rsidRPr="00045AA8" w:rsidRDefault="00045AA8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74D9E78" w14:textId="77777777" w:rsidR="00BE2F45" w:rsidRPr="00045AA8" w:rsidRDefault="00BE2F45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prieš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 FGF23, skirtas naudoti pagal 1 punktą, kur 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prieš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FGF23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yra skiriamas</w:t>
      </w:r>
      <w:r w:rsidR="00A26607" w:rsidRPr="00045AA8">
        <w:rPr>
          <w:rFonts w:ascii="Helvetica" w:hAnsi="Helvetica"/>
          <w:sz w:val="20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doze</w:t>
      </w:r>
      <w:r w:rsidR="00F845BD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apie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 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0,</w:t>
      </w:r>
      <w:r w:rsidR="00F845BD" w:rsidRPr="00045AA8">
        <w:rPr>
          <w:rFonts w:ascii="Helvetica" w:eastAsia="Times New Roman" w:hAnsi="Helvetica" w:cs="Arial"/>
          <w:sz w:val="20"/>
          <w:szCs w:val="24"/>
          <w:lang w:eastAsia="lt-LT"/>
        </w:rPr>
        <w:t>4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mg/kg.</w:t>
      </w:r>
    </w:p>
    <w:p w14:paraId="77C54997" w14:textId="77777777" w:rsidR="00F845BD" w:rsidRPr="00045AA8" w:rsidRDefault="00F845BD" w:rsidP="00045AA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6A52A8D" w14:textId="77777777" w:rsidR="00F845BD" w:rsidRPr="00045AA8" w:rsidRDefault="00F845BD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8. Antikūnas prieš FGF23, skirtas naudoti pagal 1 punktą, kur antikūnas prieš FGF23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yra skiriamas</w:t>
      </w:r>
      <w:r w:rsidRPr="00045AA8">
        <w:rPr>
          <w:rFonts w:ascii="Helvetica" w:hAnsi="Helvetica"/>
          <w:sz w:val="20"/>
        </w:rPr>
        <w:t xml:space="preserve">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doze apie 0,5 mg/kg.</w:t>
      </w:r>
    </w:p>
    <w:p w14:paraId="695E576F" w14:textId="77777777" w:rsidR="00A26607" w:rsidRPr="00045AA8" w:rsidRDefault="00A26607" w:rsidP="00045AA8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34D32F6" w14:textId="77777777" w:rsidR="00BE2F45" w:rsidRPr="00045AA8" w:rsidRDefault="00F845BD" w:rsidP="00045AA8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9</w:t>
      </w:r>
      <w:r w:rsidR="00BE2F45" w:rsidRPr="00045AA8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prieš</w:t>
      </w:r>
      <w:r w:rsidR="00BE2F45" w:rsidRPr="00045AA8">
        <w:rPr>
          <w:rFonts w:ascii="Helvetica" w:eastAsia="Times New Roman" w:hAnsi="Helvetica" w:cs="Arial"/>
          <w:sz w:val="20"/>
          <w:szCs w:val="24"/>
          <w:lang w:eastAsia="lt-LT"/>
        </w:rPr>
        <w:t> FGF23, skirtas naudoti pagal 1 punktą, kur</w:t>
      </w:r>
      <w:r w:rsidR="00946B90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prieš</w:t>
      </w:r>
      <w:r w:rsidR="00BE2F45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FGF23</w:t>
      </w:r>
      <w:r w:rsidR="00045AA8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 xml:space="preserve">yra skiriamas doze </w:t>
      </w:r>
      <w:r w:rsidRPr="00045AA8">
        <w:rPr>
          <w:rFonts w:ascii="Helvetica" w:eastAsia="Times New Roman" w:hAnsi="Helvetica" w:cs="Arial"/>
          <w:sz w:val="20"/>
          <w:szCs w:val="24"/>
          <w:lang w:eastAsia="lt-LT"/>
        </w:rPr>
        <w:t>apie 2</w:t>
      </w:r>
      <w:r w:rsidR="00A26607" w:rsidRPr="00045AA8">
        <w:rPr>
          <w:rFonts w:ascii="Helvetica" w:eastAsia="Times New Roman" w:hAnsi="Helvetica" w:cs="Arial"/>
          <w:sz w:val="20"/>
          <w:szCs w:val="24"/>
          <w:lang w:eastAsia="lt-LT"/>
        </w:rPr>
        <w:t>,0 mg/kg.</w:t>
      </w:r>
    </w:p>
    <w:sectPr w:rsidR="00BE2F45" w:rsidRPr="00045AA8" w:rsidSect="00045AA8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E4A6" w14:textId="77777777" w:rsidR="002E77E1" w:rsidRDefault="002E77E1" w:rsidP="000E0AF6">
      <w:pPr>
        <w:spacing w:after="0" w:line="240" w:lineRule="auto"/>
      </w:pPr>
      <w:r>
        <w:separator/>
      </w:r>
    </w:p>
  </w:endnote>
  <w:endnote w:type="continuationSeparator" w:id="0">
    <w:p w14:paraId="5F4CCCD5" w14:textId="77777777" w:rsidR="002E77E1" w:rsidRDefault="002E77E1" w:rsidP="000E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344A" w14:textId="77777777" w:rsidR="002E77E1" w:rsidRDefault="002E77E1" w:rsidP="000E0AF6">
      <w:pPr>
        <w:spacing w:after="0" w:line="240" w:lineRule="auto"/>
      </w:pPr>
      <w:r>
        <w:separator/>
      </w:r>
    </w:p>
  </w:footnote>
  <w:footnote w:type="continuationSeparator" w:id="0">
    <w:p w14:paraId="3BEE3BE3" w14:textId="77777777" w:rsidR="002E77E1" w:rsidRDefault="002E77E1" w:rsidP="000E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5"/>
    <w:rsid w:val="00045AA8"/>
    <w:rsid w:val="00056AD7"/>
    <w:rsid w:val="000E0AF6"/>
    <w:rsid w:val="00236A7B"/>
    <w:rsid w:val="002E77E1"/>
    <w:rsid w:val="00450982"/>
    <w:rsid w:val="00511EC7"/>
    <w:rsid w:val="00551715"/>
    <w:rsid w:val="005625EA"/>
    <w:rsid w:val="0059161C"/>
    <w:rsid w:val="00667E0C"/>
    <w:rsid w:val="006E1353"/>
    <w:rsid w:val="006E3231"/>
    <w:rsid w:val="007643DD"/>
    <w:rsid w:val="00946B90"/>
    <w:rsid w:val="00A26607"/>
    <w:rsid w:val="00A807AA"/>
    <w:rsid w:val="00B17EC1"/>
    <w:rsid w:val="00BE2F45"/>
    <w:rsid w:val="00CD1F37"/>
    <w:rsid w:val="00D00246"/>
    <w:rsid w:val="00D53907"/>
    <w:rsid w:val="00D74BC3"/>
    <w:rsid w:val="00EA0E84"/>
    <w:rsid w:val="00EE4B40"/>
    <w:rsid w:val="00F427AB"/>
    <w:rsid w:val="00F845BD"/>
    <w:rsid w:val="00FA603F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461590"/>
  <w15:chartTrackingRefBased/>
  <w15:docId w15:val="{89DCE8F5-06B3-41B8-84A5-2DD8763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660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E0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AF6"/>
  </w:style>
  <w:style w:type="paragraph" w:styleId="Porat">
    <w:name w:val="footer"/>
    <w:basedOn w:val="prastasis"/>
    <w:link w:val="PoratDiagrama"/>
    <w:uiPriority w:val="99"/>
    <w:unhideWhenUsed/>
    <w:rsid w:val="000E0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AF6"/>
  </w:style>
  <w:style w:type="paragraph" w:styleId="Pataisymai">
    <w:name w:val="Revision"/>
    <w:hidden/>
    <w:uiPriority w:val="99"/>
    <w:semiHidden/>
    <w:rsid w:val="00056AD7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2</cp:revision>
  <dcterms:created xsi:type="dcterms:W3CDTF">2025-09-04T11:28:00Z</dcterms:created>
  <dcterms:modified xsi:type="dcterms:W3CDTF">2025-09-04T11:28:00Z</dcterms:modified>
</cp:coreProperties>
</file>