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245F" w14:textId="1E4BDEA6" w:rsidR="00CE76F1" w:rsidRPr="007160CD" w:rsidRDefault="009847C4" w:rsidP="007160CD">
      <w:pPr>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1. </w:t>
      </w:r>
      <w:proofErr w:type="spellStart"/>
      <w:r w:rsidRPr="007160CD">
        <w:rPr>
          <w:rFonts w:ascii="Helvetica" w:hAnsi="Helvetica" w:cs="Arial"/>
          <w:sz w:val="20"/>
          <w:szCs w:val="24"/>
        </w:rPr>
        <w:t>Citotoksinis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bispesifinis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viengrandis</w:t>
      </w:r>
      <w:proofErr w:type="spellEnd"/>
      <w:r w:rsidRPr="007160CD">
        <w:rPr>
          <w:rFonts w:ascii="Helvetica" w:hAnsi="Helvetica" w:cs="Arial"/>
          <w:sz w:val="20"/>
          <w:szCs w:val="24"/>
        </w:rPr>
        <w:t xml:space="preserve"> antikūno konstruktas, apimantis pirmąjį rišimosi domeną, kuris rišasi su žmogaus DLL3 tikslinės ląstelės paviršiuje, ir antrąjį rišimosi domeną, kuris rišasi su žmogaus CD3 T ląstelės paviršiuje ir makakos CD3, kur pirmasis rišimosi domenas rišasi su DLL3 </w:t>
      </w:r>
      <w:proofErr w:type="spellStart"/>
      <w:r w:rsidRPr="007160CD">
        <w:rPr>
          <w:rFonts w:ascii="Helvetica" w:hAnsi="Helvetica" w:cs="Arial"/>
          <w:sz w:val="20"/>
          <w:szCs w:val="24"/>
        </w:rPr>
        <w:t>epitopu</w:t>
      </w:r>
      <w:proofErr w:type="spellEnd"/>
      <w:r w:rsidRPr="007160CD">
        <w:rPr>
          <w:rFonts w:ascii="Helvetica" w:hAnsi="Helvetica" w:cs="Arial"/>
          <w:sz w:val="20"/>
          <w:szCs w:val="24"/>
        </w:rPr>
        <w:t>, kurį apima SEQ ID Nr. 258 pavaizduota sritis, kur antikūno konstruktas yra (</w:t>
      </w:r>
      <w:proofErr w:type="spellStart"/>
      <w:r w:rsidRPr="007160CD">
        <w:rPr>
          <w:rFonts w:ascii="Helvetica" w:hAnsi="Helvetica" w:cs="Arial"/>
          <w:sz w:val="20"/>
          <w:szCs w:val="24"/>
        </w:rPr>
        <w:t>scFv</w:t>
      </w:r>
      <w:proofErr w:type="spellEnd"/>
      <w:r w:rsidRPr="007160CD">
        <w:rPr>
          <w:rFonts w:ascii="Helvetica" w:hAnsi="Helvetica" w:cs="Arial"/>
          <w:sz w:val="20"/>
          <w:szCs w:val="24"/>
        </w:rPr>
        <w:t>)2 formato.</w:t>
      </w:r>
    </w:p>
    <w:p w14:paraId="4E042ED3" w14:textId="77777777" w:rsidR="007160CD" w:rsidRPr="007160CD" w:rsidRDefault="007160CD" w:rsidP="007160CD">
      <w:pPr>
        <w:spacing w:after="0" w:line="360" w:lineRule="auto"/>
        <w:ind w:firstLine="567"/>
        <w:jc w:val="both"/>
        <w:rPr>
          <w:rFonts w:ascii="Helvetica" w:hAnsi="Helvetica" w:cs="Arial"/>
          <w:sz w:val="20"/>
          <w:szCs w:val="24"/>
        </w:rPr>
      </w:pPr>
    </w:p>
    <w:p w14:paraId="12CB9B77" w14:textId="7E28CD3B" w:rsidR="00AB7F8A" w:rsidRPr="007160CD" w:rsidRDefault="00AB7F8A" w:rsidP="007160CD">
      <w:pPr>
        <w:spacing w:after="0" w:line="360" w:lineRule="auto"/>
        <w:ind w:firstLine="567"/>
        <w:jc w:val="both"/>
        <w:rPr>
          <w:rFonts w:ascii="Helvetica" w:hAnsi="Helvetica" w:cs="Arial"/>
          <w:sz w:val="20"/>
          <w:szCs w:val="24"/>
        </w:rPr>
      </w:pPr>
      <w:r w:rsidRPr="007160CD">
        <w:rPr>
          <w:rFonts w:ascii="Helvetica" w:hAnsi="Helvetica" w:cs="Arial"/>
          <w:sz w:val="20"/>
          <w:szCs w:val="24"/>
        </w:rPr>
        <w:t>2. Antikūno konstruktas pagal 1 punktą, kur pirmasis rišimosi domenas papildomai rišasi su makakos DLL3, pageidautina, su ilgauodegės makakos DLL3.</w:t>
      </w:r>
    </w:p>
    <w:p w14:paraId="3C26270D" w14:textId="77777777" w:rsidR="007160CD" w:rsidRPr="007160CD" w:rsidRDefault="007160CD" w:rsidP="007160CD">
      <w:pPr>
        <w:spacing w:after="0" w:line="360" w:lineRule="auto"/>
        <w:ind w:firstLine="567"/>
        <w:jc w:val="both"/>
        <w:rPr>
          <w:rFonts w:ascii="Helvetica" w:hAnsi="Helvetica" w:cs="Arial"/>
          <w:sz w:val="20"/>
          <w:szCs w:val="24"/>
        </w:rPr>
      </w:pPr>
    </w:p>
    <w:p w14:paraId="2817E665" w14:textId="17A36B16" w:rsidR="00AB7F8A" w:rsidRPr="007160CD" w:rsidRDefault="00AB7F8A" w:rsidP="007160CD">
      <w:pPr>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3. Antikūno konstruktas pagal 1 arba 2 punktą, kur antrasis rišimosi domenas rišasi su žmogaus CD3 </w:t>
      </w:r>
      <w:proofErr w:type="spellStart"/>
      <w:r w:rsidRPr="007160CD">
        <w:rPr>
          <w:rFonts w:ascii="Helvetica" w:hAnsi="Helvetica" w:cs="Arial"/>
          <w:sz w:val="20"/>
          <w:szCs w:val="24"/>
        </w:rPr>
        <w:t>epsilon</w:t>
      </w:r>
      <w:proofErr w:type="spellEnd"/>
      <w:r w:rsidRPr="007160CD">
        <w:rPr>
          <w:rFonts w:ascii="Helvetica" w:hAnsi="Helvetica" w:cs="Arial"/>
          <w:sz w:val="20"/>
          <w:szCs w:val="24"/>
        </w:rPr>
        <w:t xml:space="preserve"> ir su </w:t>
      </w:r>
      <w:bookmarkStart w:id="0" w:name="_Hlk224743184"/>
      <w:r w:rsidRPr="007160CD">
        <w:rPr>
          <w:rFonts w:ascii="Helvetica" w:hAnsi="Helvetica" w:cs="Arial"/>
          <w:sz w:val="20"/>
          <w:szCs w:val="24"/>
        </w:rPr>
        <w:t>paprastosios</w:t>
      </w:r>
      <w:bookmarkEnd w:id="0"/>
      <w:r w:rsidRPr="007160CD">
        <w:rPr>
          <w:rFonts w:ascii="Helvetica" w:hAnsi="Helvetica" w:cs="Arial"/>
          <w:sz w:val="20"/>
          <w:szCs w:val="24"/>
        </w:rPr>
        <w:t xml:space="preserve"> </w:t>
      </w:r>
      <w:proofErr w:type="spellStart"/>
      <w:r w:rsidRPr="007160CD">
        <w:rPr>
          <w:rFonts w:ascii="Helvetica" w:hAnsi="Helvetica" w:cs="Arial"/>
          <w:sz w:val="20"/>
          <w:szCs w:val="24"/>
        </w:rPr>
        <w:t>marmozetės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baltažandės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tamarinos</w:t>
      </w:r>
      <w:proofErr w:type="spellEnd"/>
      <w:r w:rsidRPr="007160CD">
        <w:rPr>
          <w:rFonts w:ascii="Helvetica" w:hAnsi="Helvetica" w:cs="Arial"/>
          <w:sz w:val="20"/>
          <w:szCs w:val="24"/>
        </w:rPr>
        <w:t xml:space="preserve"> arba paprastosios </w:t>
      </w:r>
      <w:proofErr w:type="spellStart"/>
      <w:r w:rsidRPr="007160CD">
        <w:rPr>
          <w:rFonts w:ascii="Helvetica" w:hAnsi="Helvetica" w:cs="Arial"/>
          <w:sz w:val="20"/>
          <w:szCs w:val="24"/>
        </w:rPr>
        <w:t>voverinės</w:t>
      </w:r>
      <w:proofErr w:type="spellEnd"/>
      <w:r w:rsidRPr="007160CD">
        <w:rPr>
          <w:rFonts w:ascii="Helvetica" w:hAnsi="Helvetica" w:cs="Arial"/>
          <w:sz w:val="20"/>
          <w:szCs w:val="24"/>
        </w:rPr>
        <w:t xml:space="preserve"> beždžionės CD3 </w:t>
      </w:r>
      <w:proofErr w:type="spellStart"/>
      <w:r w:rsidRPr="007160CD">
        <w:rPr>
          <w:rFonts w:ascii="Helvetica" w:hAnsi="Helvetica" w:cs="Arial"/>
          <w:sz w:val="20"/>
          <w:szCs w:val="24"/>
        </w:rPr>
        <w:t>epsilon</w:t>
      </w:r>
      <w:proofErr w:type="spellEnd"/>
      <w:r w:rsidRPr="007160CD">
        <w:rPr>
          <w:rFonts w:ascii="Helvetica" w:hAnsi="Helvetica" w:cs="Arial"/>
          <w:sz w:val="20"/>
          <w:szCs w:val="24"/>
        </w:rPr>
        <w:t>.</w:t>
      </w:r>
    </w:p>
    <w:p w14:paraId="20DD51BA" w14:textId="77777777" w:rsidR="007160CD" w:rsidRPr="007160CD" w:rsidRDefault="007160CD" w:rsidP="007160CD">
      <w:pPr>
        <w:spacing w:after="0" w:line="360" w:lineRule="auto"/>
        <w:ind w:firstLine="567"/>
        <w:jc w:val="both"/>
        <w:rPr>
          <w:rFonts w:ascii="Helvetica" w:hAnsi="Helvetica" w:cs="Arial"/>
          <w:sz w:val="20"/>
          <w:szCs w:val="24"/>
        </w:rPr>
      </w:pPr>
    </w:p>
    <w:p w14:paraId="18A87D80" w14:textId="2143CBA9" w:rsidR="00AB7F8A" w:rsidRPr="007160CD" w:rsidRDefault="00AB7F8A" w:rsidP="007160CD">
      <w:pPr>
        <w:spacing w:after="0" w:line="360" w:lineRule="auto"/>
        <w:ind w:firstLine="567"/>
        <w:jc w:val="both"/>
        <w:rPr>
          <w:rFonts w:ascii="Helvetica" w:hAnsi="Helvetica" w:cs="Arial"/>
          <w:sz w:val="20"/>
          <w:szCs w:val="24"/>
        </w:rPr>
      </w:pPr>
      <w:r w:rsidRPr="007160CD">
        <w:rPr>
          <w:rFonts w:ascii="Helvetica" w:hAnsi="Helvetica" w:cs="Arial"/>
          <w:sz w:val="20"/>
          <w:szCs w:val="24"/>
        </w:rPr>
        <w:t>4. Antikūno konstruktas pagal bet kurį iš 1–3 punktų, kur pirmasis rišimosi domenas apima VH sritį, apimančią CDR-H1, CDR-H2 ir CDR-H3, ir VL sritį, apimančią CDR-L1, CDR-L2 ir CDR-L3, parinktas iš grupės, susidedančios iš:</w:t>
      </w:r>
    </w:p>
    <w:p w14:paraId="6762DA43"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a) CDR-H1, pavaizduotos SEQ ID Nr. 31, CDR-H2, pavaizduotos SEQ ID Nr. 32, CDR-H3, pavaizduotos SEQ ID Nr. 33, CDR-L1, pavaizduotos SEQ ID Nr. 34, CDR-L2, pavaizduotos SEQ ID Nr. 35, ir CDR-L3, pavaizduotos SEQ ID Nr. 36;</w:t>
      </w:r>
    </w:p>
    <w:p w14:paraId="381E83B2" w14:textId="5D82361D"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b) CDR-H1, pavaizduotos SEQ ID Nr. 41, CDR-H2, pavaizduotos SEQ ID Nr. 42, CDR-H3, pavaizduotos SEQ ID Nr. 43, CDR-L1, pavaizduotos SEQ ID Nr. 44, CDR-L2, pavaizduotos SEQ ID Nr. 45, ir CDR-L3, pavaizduotos SEQ ID Nr. 46;</w:t>
      </w:r>
    </w:p>
    <w:p w14:paraId="05AF145E"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c) CDR-H1, pavaizduotos SEQ ID Nr. 51, CDR-H2, pavaizduotos SEQ ID Nr. 52, CDR-H3, pavaizduotos SEQ ID Nr. 53, CDR-L1, pavaizduotos SEQ ID Nr. 54, CDR-L2, pavaizduotos SEQ ID Nr. 55, ir CDR-L3, pavaizduotos SEQ ID Nr. 56;</w:t>
      </w:r>
    </w:p>
    <w:p w14:paraId="28ACFF51"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d) CDR-H1, pavaizduotos SEQ ID Nr. 61, CDR-H2, pavaizduotos SEQ ID Nr. 62, CDR-H3, pavaizduotos SEQ ID Nr. 63, CDR-L1, pavaizduotos SEQ ID Nr. 64, CDR-L2, pavaizduotos SEQ ID Nr. 65, ir CDR-L3, pavaizduotos SEQ ID Nr. 66;</w:t>
      </w:r>
    </w:p>
    <w:p w14:paraId="0FCB7D80"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e) CDR-H1, pavaizduotos SEQ ID Nr. 71, CDR-H2, pavaizduotos SEQ ID Nr. 72, CDR-H3, pavaizduotos SEQ ID Nr. 73, CDR-L1, pavaizduotos SEQ ID Nr. 74, CDR-L2, pavaizduotos SEQ ID Nr. 75, ir CDR-L3, pavaizduotos SEQ ID Nr. 76;</w:t>
      </w:r>
    </w:p>
    <w:p w14:paraId="0C9A5E63"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f) CDR-H1, pavaizduotos SEQ ID Nr. 81, CDR-H2, pavaizduotos SEQ ID Nr. 82, CDR-H3, pavaizduotos SEQ ID Nr. 83, CDR-L1, pavaizduotos SEQ ID Nr. 84, CDR-L2, pavaizduotos SEQ ID Nr. 85, ir CDR-L3, pavaizduotos SEQ ID Nr. 86;</w:t>
      </w:r>
    </w:p>
    <w:p w14:paraId="1923A900"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g) CDR-H1, pavaizduotos SEQ ID Nr. 91, CDR-H2, pavaizduotos SEQ ID Nr. 92, CDR-H3, pavaizduotos SEQ ID Nr. 93, CDR-L1, pavaizduotos SEQ ID Nr. 94, CDR-L2, pavaizduotos SEQ ID Nr. 95, ir CDR-L3, pavaizduotos SEQ ID Nr. 96;</w:t>
      </w:r>
    </w:p>
    <w:p w14:paraId="08171ED9" w14:textId="77777777"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h) CDR-H1, pavaizduotos SEQ ID Nr. 101, CDR-H2, pavaizduotos SEQ ID Nr. 102, CDR-H3, pavaizduotos SEQ ID Nr. 103, CDR-L1, pavaizduotos SEQ ID Nr. 104, CDR-L2, pavaizduotos SEQ ID Nr. 105, ir CDR-L3, pavaizduotos SEQ ID Nr. 106; ir</w:t>
      </w:r>
    </w:p>
    <w:p w14:paraId="7A0726FF" w14:textId="560F1320" w:rsidR="00AB7F8A" w:rsidRPr="007160CD" w:rsidRDefault="00AB7F8A" w:rsidP="007160CD">
      <w:pPr>
        <w:spacing w:after="0" w:line="360" w:lineRule="auto"/>
        <w:jc w:val="both"/>
        <w:rPr>
          <w:rFonts w:ascii="Helvetica" w:hAnsi="Helvetica" w:cs="Arial"/>
          <w:sz w:val="20"/>
          <w:szCs w:val="24"/>
        </w:rPr>
      </w:pPr>
      <w:r w:rsidRPr="007160CD">
        <w:rPr>
          <w:rFonts w:ascii="Helvetica" w:hAnsi="Helvetica" w:cs="Arial"/>
          <w:sz w:val="20"/>
          <w:szCs w:val="24"/>
        </w:rPr>
        <w:t>i) CDR-H1, pavaizduotos SEQ ID Nr. 111, CDR-H2, pavaizduotos SEQ ID Nr. 112, CDR-H3, pavaizduotos SEQ ID Nr. 113, CDR-L1, pavaizduotos SEQ ID Nr. 114, CDR-L2, pavaizduotos SEQ ID Nr. 115, ir CDR-L3, pavaizduotos SEQ ID Nr. 116.</w:t>
      </w:r>
    </w:p>
    <w:p w14:paraId="1B5D9E13" w14:textId="77777777" w:rsidR="00AB7F8A" w:rsidRPr="007160CD" w:rsidRDefault="00AB7F8A" w:rsidP="007160CD">
      <w:pPr>
        <w:spacing w:after="0" w:line="360" w:lineRule="auto"/>
        <w:ind w:firstLine="567"/>
        <w:jc w:val="both"/>
        <w:rPr>
          <w:rFonts w:ascii="Helvetica" w:hAnsi="Helvetica" w:cs="Arial"/>
          <w:sz w:val="20"/>
          <w:szCs w:val="24"/>
        </w:rPr>
      </w:pPr>
    </w:p>
    <w:p w14:paraId="3F8B5749" w14:textId="77777777" w:rsidR="007160CD" w:rsidRDefault="007160CD" w:rsidP="007160CD">
      <w:pPr>
        <w:tabs>
          <w:tab w:val="num" w:pos="284"/>
        </w:tabs>
        <w:spacing w:after="0" w:line="360" w:lineRule="auto"/>
        <w:ind w:firstLine="567"/>
        <w:jc w:val="both"/>
        <w:rPr>
          <w:rFonts w:ascii="Helvetica" w:hAnsi="Helvetica" w:cs="Arial"/>
          <w:sz w:val="20"/>
          <w:szCs w:val="24"/>
        </w:rPr>
      </w:pPr>
      <w:r>
        <w:rPr>
          <w:rFonts w:ascii="Helvetica" w:hAnsi="Helvetica" w:cs="Arial"/>
          <w:sz w:val="20"/>
          <w:szCs w:val="24"/>
        </w:rPr>
        <w:t xml:space="preserve">5. </w:t>
      </w:r>
      <w:r w:rsidR="00EE29FE" w:rsidRPr="007160CD">
        <w:rPr>
          <w:rFonts w:ascii="Helvetica" w:hAnsi="Helvetica" w:cs="Arial"/>
          <w:sz w:val="20"/>
          <w:szCs w:val="24"/>
        </w:rPr>
        <w:t>Antikūno konstruktas pagal 4 punktą, kur pirmasis rišimosi domenas apima:</w:t>
      </w:r>
    </w:p>
    <w:p w14:paraId="292F26F5" w14:textId="73D4A358" w:rsidR="00EE29FE" w:rsidRPr="007160CD" w:rsidRDefault="00EE29FE" w:rsidP="007160CD">
      <w:pPr>
        <w:tabs>
          <w:tab w:val="num" w:pos="284"/>
        </w:tabs>
        <w:spacing w:after="0" w:line="360" w:lineRule="auto"/>
        <w:jc w:val="both"/>
        <w:rPr>
          <w:rFonts w:ascii="Helvetica" w:hAnsi="Helvetica" w:cs="Arial"/>
          <w:sz w:val="20"/>
          <w:szCs w:val="24"/>
        </w:rPr>
      </w:pPr>
      <w:r w:rsidRPr="007160CD">
        <w:rPr>
          <w:rFonts w:ascii="Helvetica" w:hAnsi="Helvetica" w:cs="Arial"/>
          <w:sz w:val="20"/>
          <w:szCs w:val="24"/>
        </w:rPr>
        <w:lastRenderedPageBreak/>
        <w:t>a) VH sritį, parinktą iš grupės, susidedančios iš tų, pavaizduotų SEQ ID Nr. 37, SEQ ID Nr. 47, SEQ ID Nr. 57, SEQ ID Nr. 67, SEQ ID Nr. 77, SEQ ID Nr. 87, SEQ ID Nr. 97, SEQ ID Nr. 107, SEQ ID Nr. 117, SEQ ID Nr. 435 ir SEQ ID Nr. 529; ir (arba)</w:t>
      </w:r>
    </w:p>
    <w:p w14:paraId="10F64AB1" w14:textId="19ECB08F" w:rsidR="00EE29FE" w:rsidRPr="007160CD" w:rsidRDefault="00EE29FE" w:rsidP="007160CD">
      <w:pPr>
        <w:spacing w:after="0" w:line="360" w:lineRule="auto"/>
        <w:jc w:val="both"/>
        <w:rPr>
          <w:rFonts w:ascii="Helvetica" w:hAnsi="Helvetica" w:cs="Arial"/>
          <w:sz w:val="20"/>
          <w:szCs w:val="24"/>
        </w:rPr>
      </w:pPr>
      <w:r w:rsidRPr="007160CD">
        <w:rPr>
          <w:rFonts w:ascii="Helvetica" w:hAnsi="Helvetica" w:cs="Arial"/>
          <w:sz w:val="20"/>
          <w:szCs w:val="24"/>
        </w:rPr>
        <w:t>b) VL sritį, parinktą iš grupės, susidedančios iš tų, pavaizduotų SEQ ID Nr. 38, SEQ ID Nr. 48, SEQ ID Nr. 58, SEQ ID Nr. 68, SEQ ID Nr. 78, SEQ ID Nr. 88, SEQ ID Nr. 98, SEQ ID Nr. 108, SEQ ID Nr. 118, SEQ ID Nr. 436 ir SEQ ID Nr. 530.</w:t>
      </w:r>
    </w:p>
    <w:p w14:paraId="283E2DE6" w14:textId="77777777" w:rsidR="008063F6" w:rsidRPr="007160CD" w:rsidRDefault="008063F6" w:rsidP="007160CD">
      <w:pPr>
        <w:spacing w:after="0" w:line="360" w:lineRule="auto"/>
        <w:jc w:val="both"/>
        <w:rPr>
          <w:rFonts w:ascii="Helvetica" w:hAnsi="Helvetica" w:cs="Arial"/>
          <w:sz w:val="20"/>
          <w:szCs w:val="24"/>
        </w:rPr>
      </w:pPr>
    </w:p>
    <w:p w14:paraId="48D89E5D" w14:textId="77777777" w:rsidR="007160CD" w:rsidRDefault="00EE29FE" w:rsidP="007160CD">
      <w:pPr>
        <w:spacing w:after="0" w:line="360" w:lineRule="auto"/>
        <w:ind w:firstLine="567"/>
        <w:jc w:val="both"/>
        <w:rPr>
          <w:rFonts w:ascii="Helvetica" w:hAnsi="Helvetica" w:cs="Arial"/>
          <w:sz w:val="20"/>
          <w:szCs w:val="24"/>
        </w:rPr>
      </w:pPr>
      <w:r w:rsidRPr="007160CD">
        <w:rPr>
          <w:rFonts w:ascii="Helvetica" w:hAnsi="Helvetica" w:cs="Arial"/>
          <w:sz w:val="20"/>
          <w:szCs w:val="24"/>
        </w:rPr>
        <w:t>6. Antikūno konstruktas pagal 4 arba 5 punktą, kur pirmasis rišimosi domenas apima:</w:t>
      </w:r>
    </w:p>
    <w:p w14:paraId="539C18EE" w14:textId="28FB3979" w:rsidR="00EE29FE" w:rsidRPr="007160CD" w:rsidRDefault="00EE29FE" w:rsidP="007160CD">
      <w:pPr>
        <w:spacing w:after="0" w:line="360" w:lineRule="auto"/>
        <w:jc w:val="both"/>
        <w:rPr>
          <w:rFonts w:ascii="Helvetica" w:hAnsi="Helvetica" w:cs="Arial"/>
          <w:sz w:val="20"/>
          <w:szCs w:val="24"/>
        </w:rPr>
      </w:pPr>
      <w:r w:rsidRPr="007160CD">
        <w:rPr>
          <w:rFonts w:ascii="Helvetica" w:hAnsi="Helvetica" w:cs="Arial"/>
          <w:sz w:val="20"/>
          <w:szCs w:val="24"/>
        </w:rPr>
        <w:t>a) VH sritį ir VL sritį, parinktas iš grupės, susidedančios iš VH srities ir VL srities porų, pavaizduotų SEQ ID Nr. 37+38; SEQ ID Nr. 47+48; SEQ ID Nr. 57+58; SEQ ID Nr. 67+68; SEQ ID Nr. 77+78; SEQ ID Nr. 87+88; SEQ ID Nr. 97+98; SEQ ID Nr. 107+108; SEQ ID Nr. 117+118; SEQ ID Nr. 435+436; ir SEQ ID Nr. 529+530; arba</w:t>
      </w:r>
    </w:p>
    <w:p w14:paraId="267537E2" w14:textId="036D1632" w:rsidR="00EE29FE" w:rsidRPr="007160CD" w:rsidRDefault="00EE29FE" w:rsidP="007160CD">
      <w:pPr>
        <w:tabs>
          <w:tab w:val="left" w:pos="284"/>
        </w:tabs>
        <w:spacing w:after="0" w:line="360" w:lineRule="auto"/>
        <w:jc w:val="both"/>
        <w:rPr>
          <w:rFonts w:ascii="Helvetica" w:hAnsi="Helvetica" w:cs="Arial"/>
          <w:sz w:val="20"/>
          <w:szCs w:val="24"/>
        </w:rPr>
      </w:pPr>
      <w:r w:rsidRPr="007160CD">
        <w:rPr>
          <w:rFonts w:ascii="Helvetica" w:hAnsi="Helvetica" w:cs="Arial"/>
          <w:sz w:val="20"/>
          <w:szCs w:val="24"/>
        </w:rPr>
        <w:t xml:space="preserve">b) </w:t>
      </w:r>
      <w:proofErr w:type="spellStart"/>
      <w:r w:rsidRPr="007160CD">
        <w:rPr>
          <w:rFonts w:ascii="Helvetica" w:hAnsi="Helvetica" w:cs="Arial"/>
          <w:sz w:val="20"/>
          <w:szCs w:val="24"/>
        </w:rPr>
        <w:t>polipeptidą</w:t>
      </w:r>
      <w:proofErr w:type="spellEnd"/>
      <w:r w:rsidRPr="007160CD">
        <w:rPr>
          <w:rFonts w:ascii="Helvetica" w:hAnsi="Helvetica" w:cs="Arial"/>
          <w:sz w:val="20"/>
          <w:szCs w:val="24"/>
        </w:rPr>
        <w:t xml:space="preserve">, parinktą iš grupės, susidedančios iš </w:t>
      </w:r>
      <w:r w:rsidR="006E1790" w:rsidRPr="007160CD">
        <w:rPr>
          <w:rFonts w:ascii="Helvetica" w:hAnsi="Helvetica" w:cs="Arial"/>
          <w:sz w:val="20"/>
          <w:szCs w:val="24"/>
        </w:rPr>
        <w:t>ši</w:t>
      </w:r>
      <w:r w:rsidRPr="007160CD">
        <w:rPr>
          <w:rFonts w:ascii="Helvetica" w:hAnsi="Helvetica" w:cs="Arial"/>
          <w:sz w:val="20"/>
          <w:szCs w:val="24"/>
        </w:rPr>
        <w:t>ų, pavaizduotų SEQ ID Nr. 39, SEQ ID Nr. 49, SEQ ID Nr. 59, SEQ ID Nr. 69, SEQ ID Nr. 79, SEQ ID Nr. 89, SEQ ID Nr. 99, SEQ ID Nr. 109, SEQ ID Nr. 119, SEQ ID Nr. 437 ir SEQ ID Nr. 531.</w:t>
      </w:r>
    </w:p>
    <w:p w14:paraId="21FB8957" w14:textId="77777777" w:rsidR="007160CD" w:rsidRPr="007160CD" w:rsidRDefault="007160CD" w:rsidP="007160CD">
      <w:pPr>
        <w:tabs>
          <w:tab w:val="left" w:pos="284"/>
        </w:tabs>
        <w:spacing w:after="0" w:line="360" w:lineRule="auto"/>
        <w:jc w:val="both"/>
        <w:rPr>
          <w:rFonts w:ascii="Helvetica" w:hAnsi="Helvetica" w:cs="Arial"/>
          <w:sz w:val="20"/>
          <w:szCs w:val="24"/>
        </w:rPr>
      </w:pPr>
    </w:p>
    <w:p w14:paraId="16040009" w14:textId="6CD8F961" w:rsidR="008063F6" w:rsidRPr="007160CD"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7. Antikūno konstruktas pagal bet kurį iš 4–6 punktų, apimantis </w:t>
      </w:r>
      <w:proofErr w:type="spellStart"/>
      <w:r w:rsidRPr="007160CD">
        <w:rPr>
          <w:rFonts w:ascii="Helvetica" w:hAnsi="Helvetica" w:cs="Arial"/>
          <w:sz w:val="20"/>
          <w:szCs w:val="24"/>
        </w:rPr>
        <w:t>polipeptidą</w:t>
      </w:r>
      <w:proofErr w:type="spellEnd"/>
      <w:r w:rsidRPr="007160CD">
        <w:rPr>
          <w:rFonts w:ascii="Helvetica" w:hAnsi="Helvetica" w:cs="Arial"/>
          <w:sz w:val="20"/>
          <w:szCs w:val="24"/>
        </w:rPr>
        <w:t>, parinktą iš grupės, susidedančios iš šių, pavaizduotų SEQ ID Nr. 40, SEQ ID Nr. 50, SEQ ID Nr. 60, SEQ ID Nr. 70, SEQ ID Nr. 80, SEQ ID Nr. 90, SEQ ID Nr. 100, SEQ ID Nr. 110, SEQ ID Nr. 120, SEQ ID Nr. 211, SEQ ID Nr. 212, SEQ ID Nr. 213, SEQ ID Nr. 214, SEQ ID Nr. 215, SEQ ID Nr. 216, SEQ ID Nr. 217, SEQ ID Nr. 438 ir SEQ ID Nr. 532.</w:t>
      </w:r>
    </w:p>
    <w:p w14:paraId="63B5BC46" w14:textId="77777777" w:rsidR="007160CD" w:rsidRPr="007160CD" w:rsidRDefault="007160CD" w:rsidP="007160CD">
      <w:pPr>
        <w:tabs>
          <w:tab w:val="left" w:pos="284"/>
        </w:tabs>
        <w:spacing w:after="0" w:line="360" w:lineRule="auto"/>
        <w:jc w:val="both"/>
        <w:rPr>
          <w:rFonts w:ascii="Helvetica" w:hAnsi="Helvetica" w:cs="Arial"/>
          <w:sz w:val="20"/>
          <w:szCs w:val="24"/>
        </w:rPr>
      </w:pPr>
    </w:p>
    <w:p w14:paraId="72B9AB97" w14:textId="61EE5A6B" w:rsidR="008063F6" w:rsidRPr="007160CD"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8. Antikūno konstruktas pagal bet kurį iš 4–7 punktų, apimantis arba susidedantis iš </w:t>
      </w:r>
      <w:proofErr w:type="spellStart"/>
      <w:r w:rsidRPr="007160CD">
        <w:rPr>
          <w:rFonts w:ascii="Helvetica" w:hAnsi="Helvetica" w:cs="Arial"/>
          <w:sz w:val="20"/>
          <w:szCs w:val="24"/>
        </w:rPr>
        <w:t>polipeptido</w:t>
      </w:r>
      <w:proofErr w:type="spellEnd"/>
      <w:r w:rsidRPr="007160CD">
        <w:rPr>
          <w:rFonts w:ascii="Helvetica" w:hAnsi="Helvetica" w:cs="Arial"/>
          <w:sz w:val="20"/>
          <w:szCs w:val="24"/>
        </w:rPr>
        <w:t>, parinkto iš grupės, susidedančios iš šių, pavaizduotų SEQ ID Nr. 517, SEQ ID Nr. 518, SEQ ID Nr. 519, SEQ ID Nr. 520, SEQ ID Nr. 521, SEQ ID Nr. 522, SEQ ID Nr. 523 ir SEQ ID Nr. 524.</w:t>
      </w:r>
    </w:p>
    <w:p w14:paraId="2867A125"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20CFF345" w14:textId="47560AD5" w:rsidR="008063F6"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9. </w:t>
      </w:r>
      <w:proofErr w:type="spellStart"/>
      <w:r w:rsidRPr="007160CD">
        <w:rPr>
          <w:rFonts w:ascii="Helvetica" w:hAnsi="Helvetica" w:cs="Arial"/>
          <w:sz w:val="20"/>
          <w:szCs w:val="24"/>
        </w:rPr>
        <w:t>Polinukleotidas</w:t>
      </w:r>
      <w:proofErr w:type="spellEnd"/>
      <w:r w:rsidRPr="007160CD">
        <w:rPr>
          <w:rFonts w:ascii="Helvetica" w:hAnsi="Helvetica" w:cs="Arial"/>
          <w:sz w:val="20"/>
          <w:szCs w:val="24"/>
        </w:rPr>
        <w:t>, koduojantis antikūno konstruktą, kaip apibrėžta bet kuriame iš ankstesnių punktų.</w:t>
      </w:r>
    </w:p>
    <w:p w14:paraId="6F0837F1"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64B469F8" w14:textId="4944DBF1" w:rsidR="008063F6" w:rsidRPr="007160CD"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10. Vektorius, apimantis </w:t>
      </w:r>
      <w:proofErr w:type="spellStart"/>
      <w:r w:rsidRPr="007160CD">
        <w:rPr>
          <w:rFonts w:ascii="Helvetica" w:hAnsi="Helvetica" w:cs="Arial"/>
          <w:sz w:val="20"/>
          <w:szCs w:val="24"/>
        </w:rPr>
        <w:t>polinukleotidą</w:t>
      </w:r>
      <w:proofErr w:type="spellEnd"/>
      <w:r w:rsidRPr="007160CD">
        <w:rPr>
          <w:rFonts w:ascii="Helvetica" w:hAnsi="Helvetica" w:cs="Arial"/>
          <w:sz w:val="20"/>
          <w:szCs w:val="24"/>
        </w:rPr>
        <w:t>, kaip apibrėžta 9 punkte.</w:t>
      </w:r>
    </w:p>
    <w:p w14:paraId="05F8F617"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78522901" w14:textId="1D368353" w:rsidR="008063F6" w:rsidRPr="007160CD"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11.</w:t>
      </w:r>
      <w:r w:rsidR="007160CD" w:rsidRPr="007160CD">
        <w:rPr>
          <w:rFonts w:ascii="Helvetica" w:hAnsi="Helvetica" w:cs="Arial"/>
          <w:sz w:val="20"/>
          <w:szCs w:val="24"/>
        </w:rPr>
        <w:t xml:space="preserve"> </w:t>
      </w:r>
      <w:r w:rsidRPr="007160CD">
        <w:rPr>
          <w:rFonts w:ascii="Helvetica" w:hAnsi="Helvetica" w:cs="Arial"/>
          <w:sz w:val="20"/>
          <w:szCs w:val="24"/>
        </w:rPr>
        <w:t xml:space="preserve">Ląstelė-šeimininkė, transformuota arba </w:t>
      </w:r>
      <w:proofErr w:type="spellStart"/>
      <w:r w:rsidRPr="007160CD">
        <w:rPr>
          <w:rFonts w:ascii="Helvetica" w:hAnsi="Helvetica" w:cs="Arial"/>
          <w:sz w:val="20"/>
          <w:szCs w:val="24"/>
        </w:rPr>
        <w:t>transfekuota</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polinukleotidu</w:t>
      </w:r>
      <w:proofErr w:type="spellEnd"/>
      <w:r w:rsidRPr="007160CD">
        <w:rPr>
          <w:rFonts w:ascii="Helvetica" w:hAnsi="Helvetica" w:cs="Arial"/>
          <w:sz w:val="20"/>
          <w:szCs w:val="24"/>
        </w:rPr>
        <w:t>, kaip apibrėžta 9 punkte, arba vektoriumi, kaip apibrėžta 10 punkte.</w:t>
      </w:r>
    </w:p>
    <w:p w14:paraId="5ECA4699"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02FC0A5F" w14:textId="6BCDC47E" w:rsidR="008063F6" w:rsidRPr="007160CD"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 xml:space="preserve">12. Būdas antikūno konstruktui pagal bet kurį iš 1–8 punktų gauti, apimantis ląstelės-šeimininkės, kaip apibrėžta 11 punkte, kultivavimą sąlygomis, leidžiančiomis vykti minėto antikūno </w:t>
      </w:r>
      <w:proofErr w:type="spellStart"/>
      <w:r w:rsidRPr="007160CD">
        <w:rPr>
          <w:rFonts w:ascii="Helvetica" w:hAnsi="Helvetica" w:cs="Arial"/>
          <w:sz w:val="20"/>
          <w:szCs w:val="24"/>
        </w:rPr>
        <w:t>konstruktо</w:t>
      </w:r>
      <w:proofErr w:type="spellEnd"/>
      <w:r w:rsidRPr="007160CD">
        <w:rPr>
          <w:rFonts w:ascii="Helvetica" w:hAnsi="Helvetica" w:cs="Arial"/>
          <w:sz w:val="20"/>
          <w:szCs w:val="24"/>
        </w:rPr>
        <w:t xml:space="preserve"> raiškai, ir pagaminto antikūno </w:t>
      </w:r>
      <w:proofErr w:type="spellStart"/>
      <w:r w:rsidRPr="007160CD">
        <w:rPr>
          <w:rFonts w:ascii="Helvetica" w:hAnsi="Helvetica" w:cs="Arial"/>
          <w:sz w:val="20"/>
          <w:szCs w:val="24"/>
        </w:rPr>
        <w:t>konstruktо</w:t>
      </w:r>
      <w:proofErr w:type="spellEnd"/>
      <w:r w:rsidRPr="007160CD">
        <w:rPr>
          <w:rFonts w:ascii="Helvetica" w:hAnsi="Helvetica" w:cs="Arial"/>
          <w:sz w:val="20"/>
          <w:szCs w:val="24"/>
        </w:rPr>
        <w:t xml:space="preserve"> išskyrimą iš kultūros.</w:t>
      </w:r>
    </w:p>
    <w:p w14:paraId="47D6CBD9"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28BA7560" w14:textId="161F11D8" w:rsidR="008063F6" w:rsidRDefault="008063F6"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13. Farmacinė kompozicija, apimanti antikūno konstruktą pagal bet kurį iš 1–8 punktų.</w:t>
      </w:r>
    </w:p>
    <w:p w14:paraId="6266F131" w14:textId="77777777" w:rsidR="007160CD" w:rsidRDefault="007160CD" w:rsidP="007160CD">
      <w:pPr>
        <w:tabs>
          <w:tab w:val="left" w:pos="284"/>
        </w:tabs>
        <w:spacing w:after="0" w:line="360" w:lineRule="auto"/>
        <w:ind w:firstLine="567"/>
        <w:jc w:val="both"/>
        <w:rPr>
          <w:rFonts w:ascii="Helvetica" w:hAnsi="Helvetica" w:cs="Arial"/>
          <w:sz w:val="20"/>
          <w:szCs w:val="24"/>
        </w:rPr>
      </w:pPr>
    </w:p>
    <w:p w14:paraId="1435A7C3" w14:textId="29CE1777" w:rsidR="008063F6" w:rsidRPr="007160CD" w:rsidRDefault="006A1AEE"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14.</w:t>
      </w:r>
      <w:r w:rsidR="007160CD" w:rsidRPr="007160CD">
        <w:rPr>
          <w:rFonts w:ascii="Helvetica" w:hAnsi="Helvetica" w:cs="Arial"/>
          <w:sz w:val="20"/>
          <w:szCs w:val="24"/>
        </w:rPr>
        <w:t xml:space="preserve"> </w:t>
      </w:r>
      <w:r w:rsidR="008063F6" w:rsidRPr="007160CD">
        <w:rPr>
          <w:rFonts w:ascii="Helvetica" w:hAnsi="Helvetica" w:cs="Arial"/>
          <w:sz w:val="20"/>
          <w:szCs w:val="24"/>
        </w:rPr>
        <w:t xml:space="preserve">Antikūno konstruktas pagal bet kurį iš 1–8 punktų, skirtas naudoti naviko arba vėžio ligos arba </w:t>
      </w:r>
      <w:proofErr w:type="spellStart"/>
      <w:r w:rsidR="008063F6" w:rsidRPr="007160CD">
        <w:rPr>
          <w:rFonts w:ascii="Helvetica" w:hAnsi="Helvetica" w:cs="Arial"/>
          <w:sz w:val="20"/>
          <w:szCs w:val="24"/>
        </w:rPr>
        <w:t>metastazavusios</w:t>
      </w:r>
      <w:proofErr w:type="spellEnd"/>
      <w:r w:rsidR="008063F6" w:rsidRPr="007160CD">
        <w:rPr>
          <w:rFonts w:ascii="Helvetica" w:hAnsi="Helvetica" w:cs="Arial"/>
          <w:sz w:val="20"/>
          <w:szCs w:val="24"/>
        </w:rPr>
        <w:t xml:space="preserve"> vėžio ligos gydymui.</w:t>
      </w:r>
    </w:p>
    <w:p w14:paraId="27989B78" w14:textId="77777777" w:rsidR="007160CD" w:rsidRPr="007160CD" w:rsidRDefault="007160CD" w:rsidP="007160CD">
      <w:pPr>
        <w:tabs>
          <w:tab w:val="left" w:pos="284"/>
        </w:tabs>
        <w:spacing w:after="0" w:line="360" w:lineRule="auto"/>
        <w:ind w:firstLine="567"/>
        <w:jc w:val="both"/>
        <w:rPr>
          <w:rFonts w:ascii="Helvetica" w:hAnsi="Helvetica" w:cs="Arial"/>
          <w:sz w:val="20"/>
          <w:szCs w:val="24"/>
        </w:rPr>
      </w:pPr>
    </w:p>
    <w:p w14:paraId="4FF8100E" w14:textId="383817D4" w:rsidR="008063F6" w:rsidRPr="007160CD" w:rsidRDefault="006A1AEE" w:rsidP="007160CD">
      <w:pPr>
        <w:tabs>
          <w:tab w:val="left" w:pos="284"/>
        </w:tabs>
        <w:spacing w:after="0" w:line="360" w:lineRule="auto"/>
        <w:ind w:firstLine="567"/>
        <w:jc w:val="both"/>
        <w:rPr>
          <w:rFonts w:ascii="Helvetica" w:hAnsi="Helvetica" w:cs="Arial"/>
          <w:sz w:val="20"/>
          <w:szCs w:val="24"/>
        </w:rPr>
      </w:pPr>
      <w:r w:rsidRPr="007160CD">
        <w:rPr>
          <w:rFonts w:ascii="Helvetica" w:hAnsi="Helvetica" w:cs="Arial"/>
          <w:sz w:val="20"/>
          <w:szCs w:val="24"/>
        </w:rPr>
        <w:t>15. Antikūno konstruktas naudojimui pagal 14 punktą, kur navikas arba vėžio liga pari</w:t>
      </w:r>
      <w:r w:rsidR="006E1790" w:rsidRPr="007160CD">
        <w:rPr>
          <w:rFonts w:ascii="Helvetica" w:hAnsi="Helvetica" w:cs="Arial"/>
          <w:sz w:val="20"/>
          <w:szCs w:val="24"/>
        </w:rPr>
        <w:t>nkti</w:t>
      </w:r>
      <w:r w:rsidRPr="007160CD">
        <w:rPr>
          <w:rFonts w:ascii="Helvetica" w:hAnsi="Helvetica" w:cs="Arial"/>
          <w:sz w:val="20"/>
          <w:szCs w:val="24"/>
        </w:rPr>
        <w:t xml:space="preserve"> iš grupės, susidedančios iš </w:t>
      </w:r>
      <w:proofErr w:type="spellStart"/>
      <w:r w:rsidRPr="007160CD">
        <w:rPr>
          <w:rFonts w:ascii="Helvetica" w:hAnsi="Helvetica" w:cs="Arial"/>
          <w:sz w:val="20"/>
          <w:szCs w:val="24"/>
        </w:rPr>
        <w:t>smulkialąstelinio</w:t>
      </w:r>
      <w:proofErr w:type="spellEnd"/>
      <w:r w:rsidRPr="007160CD">
        <w:rPr>
          <w:rFonts w:ascii="Helvetica" w:hAnsi="Helvetica" w:cs="Arial"/>
          <w:sz w:val="20"/>
          <w:szCs w:val="24"/>
        </w:rPr>
        <w:t xml:space="preserve"> plaučių vėžio (SLPV), </w:t>
      </w:r>
      <w:proofErr w:type="spellStart"/>
      <w:r w:rsidRPr="007160CD">
        <w:rPr>
          <w:rFonts w:ascii="Helvetica" w:hAnsi="Helvetica" w:cs="Arial"/>
          <w:sz w:val="20"/>
          <w:szCs w:val="24"/>
        </w:rPr>
        <w:t>nesmulkialąstelinio</w:t>
      </w:r>
      <w:proofErr w:type="spellEnd"/>
      <w:r w:rsidRPr="007160CD">
        <w:rPr>
          <w:rFonts w:ascii="Helvetica" w:hAnsi="Helvetica" w:cs="Arial"/>
          <w:sz w:val="20"/>
          <w:szCs w:val="24"/>
        </w:rPr>
        <w:t xml:space="preserve"> plaučių vėžio (NSLPV), </w:t>
      </w:r>
      <w:proofErr w:type="spellStart"/>
      <w:r w:rsidRPr="007160CD">
        <w:rPr>
          <w:rFonts w:ascii="Helvetica" w:hAnsi="Helvetica" w:cs="Arial"/>
          <w:sz w:val="20"/>
          <w:szCs w:val="24"/>
        </w:rPr>
        <w:t>gliomos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glioblastomos</w:t>
      </w:r>
      <w:proofErr w:type="spellEnd"/>
      <w:r w:rsidRPr="007160CD">
        <w:rPr>
          <w:rFonts w:ascii="Helvetica" w:hAnsi="Helvetica" w:cs="Arial"/>
          <w:sz w:val="20"/>
          <w:szCs w:val="24"/>
        </w:rPr>
        <w:t xml:space="preserve">, melanomos, </w:t>
      </w:r>
      <w:proofErr w:type="spellStart"/>
      <w:r w:rsidRPr="007160CD">
        <w:rPr>
          <w:rFonts w:ascii="Helvetica" w:hAnsi="Helvetica" w:cs="Arial"/>
          <w:sz w:val="20"/>
          <w:szCs w:val="24"/>
        </w:rPr>
        <w:t>neuroendokrininio</w:t>
      </w:r>
      <w:proofErr w:type="spellEnd"/>
      <w:r w:rsidRPr="007160CD">
        <w:rPr>
          <w:rFonts w:ascii="Helvetica" w:hAnsi="Helvetica" w:cs="Arial"/>
          <w:sz w:val="20"/>
          <w:szCs w:val="24"/>
        </w:rPr>
        <w:t xml:space="preserve"> prostatos vėžio, </w:t>
      </w:r>
      <w:proofErr w:type="spellStart"/>
      <w:r w:rsidRPr="007160CD">
        <w:rPr>
          <w:rFonts w:ascii="Helvetica" w:hAnsi="Helvetica" w:cs="Arial"/>
          <w:sz w:val="20"/>
          <w:szCs w:val="24"/>
        </w:rPr>
        <w:t>neuroendokrininio</w:t>
      </w:r>
      <w:proofErr w:type="spellEnd"/>
      <w:r w:rsidRPr="007160CD">
        <w:rPr>
          <w:rFonts w:ascii="Helvetica" w:hAnsi="Helvetica" w:cs="Arial"/>
          <w:sz w:val="20"/>
          <w:szCs w:val="24"/>
        </w:rPr>
        <w:t xml:space="preserve"> kasos vėžio, </w:t>
      </w:r>
      <w:proofErr w:type="spellStart"/>
      <w:r w:rsidRPr="007160CD">
        <w:rPr>
          <w:rFonts w:ascii="Helvetica" w:hAnsi="Helvetica" w:cs="Arial"/>
          <w:sz w:val="20"/>
          <w:szCs w:val="24"/>
        </w:rPr>
        <w:lastRenderedPageBreak/>
        <w:t>hepatoblastomos</w:t>
      </w:r>
      <w:proofErr w:type="spellEnd"/>
      <w:r w:rsidRPr="007160CD">
        <w:rPr>
          <w:rFonts w:ascii="Helvetica" w:hAnsi="Helvetica" w:cs="Arial"/>
          <w:sz w:val="20"/>
          <w:szCs w:val="24"/>
        </w:rPr>
        <w:t xml:space="preserve">, </w:t>
      </w:r>
      <w:proofErr w:type="spellStart"/>
      <w:r w:rsidRPr="007160CD">
        <w:rPr>
          <w:rFonts w:ascii="Helvetica" w:hAnsi="Helvetica" w:cs="Arial"/>
          <w:sz w:val="20"/>
          <w:szCs w:val="24"/>
        </w:rPr>
        <w:t>hepatoceliulinės</w:t>
      </w:r>
      <w:proofErr w:type="spellEnd"/>
      <w:r w:rsidRPr="007160CD">
        <w:rPr>
          <w:rFonts w:ascii="Helvetica" w:hAnsi="Helvetica" w:cs="Arial"/>
          <w:sz w:val="20"/>
          <w:szCs w:val="24"/>
        </w:rPr>
        <w:t xml:space="preserve"> karcinomos ir </w:t>
      </w:r>
      <w:proofErr w:type="spellStart"/>
      <w:r w:rsidRPr="007160CD">
        <w:rPr>
          <w:rFonts w:ascii="Helvetica" w:hAnsi="Helvetica" w:cs="Arial"/>
          <w:sz w:val="20"/>
          <w:szCs w:val="24"/>
        </w:rPr>
        <w:t>metastazavusios</w:t>
      </w:r>
      <w:proofErr w:type="spellEnd"/>
      <w:r w:rsidRPr="007160CD">
        <w:rPr>
          <w:rFonts w:ascii="Helvetica" w:hAnsi="Helvetica" w:cs="Arial"/>
          <w:sz w:val="20"/>
          <w:szCs w:val="24"/>
        </w:rPr>
        <w:t xml:space="preserve"> vėžio ligos, kilusios iš bet kurios iš pirmiau išvardytų.</w:t>
      </w:r>
    </w:p>
    <w:sectPr w:rsidR="008063F6" w:rsidRPr="007160CD" w:rsidSect="007160C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A1F8" w14:textId="77777777" w:rsidR="00E06C36" w:rsidRDefault="00E06C36" w:rsidP="00CE76F1">
      <w:pPr>
        <w:spacing w:after="0" w:line="240" w:lineRule="auto"/>
      </w:pPr>
      <w:r>
        <w:separator/>
      </w:r>
    </w:p>
  </w:endnote>
  <w:endnote w:type="continuationSeparator" w:id="0">
    <w:p w14:paraId="4AC42FD5" w14:textId="77777777" w:rsidR="00E06C36" w:rsidRDefault="00E06C36" w:rsidP="00CE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9838" w14:textId="77777777" w:rsidR="00E06C36" w:rsidRDefault="00E06C36" w:rsidP="00CE76F1">
      <w:pPr>
        <w:spacing w:after="0" w:line="240" w:lineRule="auto"/>
      </w:pPr>
      <w:r>
        <w:separator/>
      </w:r>
    </w:p>
  </w:footnote>
  <w:footnote w:type="continuationSeparator" w:id="0">
    <w:p w14:paraId="5E244CBD" w14:textId="77777777" w:rsidR="00E06C36" w:rsidRDefault="00E06C36" w:rsidP="00CE7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F6416"/>
    <w:multiLevelType w:val="multilevel"/>
    <w:tmpl w:val="E91C9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31E95"/>
    <w:multiLevelType w:val="multilevel"/>
    <w:tmpl w:val="DC309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D6901"/>
    <w:multiLevelType w:val="multilevel"/>
    <w:tmpl w:val="40824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788895">
    <w:abstractNumId w:val="1"/>
  </w:num>
  <w:num w:numId="2" w16cid:durableId="612399323">
    <w:abstractNumId w:val="0"/>
  </w:num>
  <w:num w:numId="3" w16cid:durableId="39886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45"/>
    <w:rsid w:val="00041442"/>
    <w:rsid w:val="00111E69"/>
    <w:rsid w:val="001A0C75"/>
    <w:rsid w:val="001A6E79"/>
    <w:rsid w:val="001D54A7"/>
    <w:rsid w:val="002049FC"/>
    <w:rsid w:val="0035526A"/>
    <w:rsid w:val="003A0445"/>
    <w:rsid w:val="003E15C5"/>
    <w:rsid w:val="00541381"/>
    <w:rsid w:val="00562F06"/>
    <w:rsid w:val="00602F45"/>
    <w:rsid w:val="0063563B"/>
    <w:rsid w:val="006A1AEE"/>
    <w:rsid w:val="006E1790"/>
    <w:rsid w:val="007160CD"/>
    <w:rsid w:val="0072325C"/>
    <w:rsid w:val="0074754A"/>
    <w:rsid w:val="008063F6"/>
    <w:rsid w:val="008E63D6"/>
    <w:rsid w:val="0096446C"/>
    <w:rsid w:val="009847C4"/>
    <w:rsid w:val="009A40D4"/>
    <w:rsid w:val="00A00E5B"/>
    <w:rsid w:val="00A025CC"/>
    <w:rsid w:val="00AB7F8A"/>
    <w:rsid w:val="00B432B4"/>
    <w:rsid w:val="00BB2432"/>
    <w:rsid w:val="00C159C9"/>
    <w:rsid w:val="00CE76F1"/>
    <w:rsid w:val="00D84E27"/>
    <w:rsid w:val="00DB0F4C"/>
    <w:rsid w:val="00E06C36"/>
    <w:rsid w:val="00E5226F"/>
    <w:rsid w:val="00EE29FE"/>
    <w:rsid w:val="00F70CD6"/>
    <w:rsid w:val="00F77F3A"/>
    <w:rsid w:val="00F92470"/>
    <w:rsid w:val="00FF5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9DFF5"/>
  <w15:chartTrackingRefBased/>
  <w15:docId w15:val="{C551E67C-739D-4B81-B954-E1AEE1A5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76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E76F1"/>
  </w:style>
  <w:style w:type="paragraph" w:styleId="Porat">
    <w:name w:val="footer"/>
    <w:basedOn w:val="prastasis"/>
    <w:link w:val="PoratDiagrama"/>
    <w:uiPriority w:val="99"/>
    <w:unhideWhenUsed/>
    <w:rsid w:val="00CE76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76F1"/>
  </w:style>
  <w:style w:type="paragraph" w:styleId="Sraopastraipa">
    <w:name w:val="List Paragraph"/>
    <w:basedOn w:val="prastasis"/>
    <w:uiPriority w:val="34"/>
    <w:qFormat/>
    <w:rsid w:val="00AB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9656">
      <w:bodyDiv w:val="1"/>
      <w:marLeft w:val="0"/>
      <w:marRight w:val="0"/>
      <w:marTop w:val="0"/>
      <w:marBottom w:val="0"/>
      <w:divBdr>
        <w:top w:val="none" w:sz="0" w:space="0" w:color="auto"/>
        <w:left w:val="none" w:sz="0" w:space="0" w:color="auto"/>
        <w:bottom w:val="none" w:sz="0" w:space="0" w:color="auto"/>
        <w:right w:val="none" w:sz="0" w:space="0" w:color="auto"/>
      </w:divBdr>
    </w:div>
    <w:div w:id="133067384">
      <w:bodyDiv w:val="1"/>
      <w:marLeft w:val="0"/>
      <w:marRight w:val="0"/>
      <w:marTop w:val="0"/>
      <w:marBottom w:val="0"/>
      <w:divBdr>
        <w:top w:val="none" w:sz="0" w:space="0" w:color="auto"/>
        <w:left w:val="none" w:sz="0" w:space="0" w:color="auto"/>
        <w:bottom w:val="none" w:sz="0" w:space="0" w:color="auto"/>
        <w:right w:val="none" w:sz="0" w:space="0" w:color="auto"/>
      </w:divBdr>
    </w:div>
    <w:div w:id="1218013165">
      <w:bodyDiv w:val="1"/>
      <w:marLeft w:val="0"/>
      <w:marRight w:val="0"/>
      <w:marTop w:val="0"/>
      <w:marBottom w:val="0"/>
      <w:divBdr>
        <w:top w:val="none" w:sz="0" w:space="0" w:color="auto"/>
        <w:left w:val="none" w:sz="0" w:space="0" w:color="auto"/>
        <w:bottom w:val="none" w:sz="0" w:space="0" w:color="auto"/>
        <w:right w:val="none" w:sz="0" w:space="0" w:color="auto"/>
      </w:divBdr>
    </w:div>
    <w:div w:id="1268122571">
      <w:bodyDiv w:val="1"/>
      <w:marLeft w:val="0"/>
      <w:marRight w:val="0"/>
      <w:marTop w:val="0"/>
      <w:marBottom w:val="0"/>
      <w:divBdr>
        <w:top w:val="none" w:sz="0" w:space="0" w:color="auto"/>
        <w:left w:val="none" w:sz="0" w:space="0" w:color="auto"/>
        <w:bottom w:val="none" w:sz="0" w:space="0" w:color="auto"/>
        <w:right w:val="none" w:sz="0" w:space="0" w:color="auto"/>
      </w:divBdr>
      <w:divsChild>
        <w:div w:id="1821382332">
          <w:marLeft w:val="0"/>
          <w:marRight w:val="0"/>
          <w:marTop w:val="0"/>
          <w:marBottom w:val="0"/>
          <w:divBdr>
            <w:top w:val="none" w:sz="0" w:space="0" w:color="auto"/>
            <w:left w:val="none" w:sz="0" w:space="0" w:color="auto"/>
            <w:bottom w:val="none" w:sz="0" w:space="0" w:color="auto"/>
            <w:right w:val="none" w:sz="0" w:space="0" w:color="auto"/>
          </w:divBdr>
          <w:divsChild>
            <w:div w:id="122234375">
              <w:marLeft w:val="0"/>
              <w:marRight w:val="0"/>
              <w:marTop w:val="0"/>
              <w:marBottom w:val="0"/>
              <w:divBdr>
                <w:top w:val="none" w:sz="0" w:space="0" w:color="auto"/>
                <w:left w:val="none" w:sz="0" w:space="0" w:color="auto"/>
                <w:bottom w:val="none" w:sz="0" w:space="0" w:color="auto"/>
                <w:right w:val="none" w:sz="0" w:space="0" w:color="auto"/>
              </w:divBdr>
              <w:divsChild>
                <w:div w:id="1120493565">
                  <w:marLeft w:val="0"/>
                  <w:marRight w:val="0"/>
                  <w:marTop w:val="0"/>
                  <w:marBottom w:val="0"/>
                  <w:divBdr>
                    <w:top w:val="none" w:sz="0" w:space="0" w:color="auto"/>
                    <w:left w:val="none" w:sz="0" w:space="0" w:color="auto"/>
                    <w:bottom w:val="none" w:sz="0" w:space="0" w:color="auto"/>
                    <w:right w:val="none" w:sz="0" w:space="0" w:color="auto"/>
                  </w:divBdr>
                  <w:divsChild>
                    <w:div w:id="2061056953">
                      <w:marLeft w:val="0"/>
                      <w:marRight w:val="0"/>
                      <w:marTop w:val="0"/>
                      <w:marBottom w:val="0"/>
                      <w:divBdr>
                        <w:top w:val="none" w:sz="0" w:space="0" w:color="auto"/>
                        <w:left w:val="none" w:sz="0" w:space="0" w:color="auto"/>
                        <w:bottom w:val="none" w:sz="0" w:space="0" w:color="auto"/>
                        <w:right w:val="none" w:sz="0" w:space="0" w:color="auto"/>
                      </w:divBdr>
                      <w:divsChild>
                        <w:div w:id="2105374448">
                          <w:marLeft w:val="0"/>
                          <w:marRight w:val="0"/>
                          <w:marTop w:val="0"/>
                          <w:marBottom w:val="0"/>
                          <w:divBdr>
                            <w:top w:val="none" w:sz="0" w:space="0" w:color="auto"/>
                            <w:left w:val="none" w:sz="0" w:space="0" w:color="auto"/>
                            <w:bottom w:val="none" w:sz="0" w:space="0" w:color="auto"/>
                            <w:right w:val="none" w:sz="0" w:space="0" w:color="auto"/>
                          </w:divBdr>
                          <w:divsChild>
                            <w:div w:id="3487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4677">
      <w:bodyDiv w:val="1"/>
      <w:marLeft w:val="0"/>
      <w:marRight w:val="0"/>
      <w:marTop w:val="0"/>
      <w:marBottom w:val="0"/>
      <w:divBdr>
        <w:top w:val="none" w:sz="0" w:space="0" w:color="auto"/>
        <w:left w:val="none" w:sz="0" w:space="0" w:color="auto"/>
        <w:bottom w:val="none" w:sz="0" w:space="0" w:color="auto"/>
        <w:right w:val="none" w:sz="0" w:space="0" w:color="auto"/>
      </w:divBdr>
    </w:div>
    <w:div w:id="17471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3</Pages>
  <Words>1169</Words>
  <Characters>4959</Characters>
  <Application>Microsoft Office Word</Application>
  <DocSecurity>0</DocSecurity>
  <Lines>413</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Jurgita Eidukevičienė</cp:lastModifiedBy>
  <cp:revision>13</cp:revision>
  <dcterms:created xsi:type="dcterms:W3CDTF">2026-03-18T10:33:00Z</dcterms:created>
  <dcterms:modified xsi:type="dcterms:W3CDTF">2026-04-27T13:14:00Z</dcterms:modified>
</cp:coreProperties>
</file>