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Aprašyti žarnyne rezorbuojami I formulės (6R,7R)-7[2(2-aminotiazol-4-il)-2 -(Z)-metoksiimino)acetamido]-3-(metoksimetil)-3-cefem-4-karbiksirūgšties diastereoizomerai                      @ir jų fiziologiškai tinkamos druskos bei II formulės junginių diastereomeriškai grynos druskos.                                                                        @HX yra vienbazė arba daugiabazė rūgštis, o X - neorganinis ar organinis fiziologiškai tinkamas anijonas, šių junginių gavimo būdas, besiskiriantis tuo, kad supilant I formulės diastereoizomerų mišinio 1 ekvivalento tirpalą su 0,2-2 ekvivalentais HY rūgšties, pradžioje nusodinamas ir nufiltruojamas mažiau tirpus IV formulės diastereoizomeras, o paskui iš filtrato nusodinamas labiau tirpus IV formulės diasteroizomeras, be to, nurodytose nuosekliose stadijose HY rūgštis gali būti vienoda arba skirtinga, o įvairios HY rūgštys gali būti pridedamos bet kokia tvarka. Gautos druskos esant reikalui papildomai valomos, jas kristalinant.                                                                   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