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341B" w14:textId="77777777" w:rsidR="00BB74CC" w:rsidRPr="00BB74CC" w:rsidRDefault="00BB74CC" w:rsidP="00BB74CC">
      <w:pPr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1. Farmaciniu požiūriu priimtina I formulės junginio druska:</w:t>
      </w:r>
    </w:p>
    <w:p w14:paraId="3811DFC1" w14:textId="77797C88" w:rsidR="00BB74CC" w:rsidRPr="00BB74CC" w:rsidRDefault="00BB74CC" w:rsidP="00BB74CC">
      <w:pPr>
        <w:spacing w:after="0" w:line="360" w:lineRule="auto"/>
        <w:jc w:val="center"/>
        <w:rPr>
          <w:rFonts w:ascii="Helvetica" w:eastAsia="Microsoft Sans Serif" w:hAnsi="Helvetica" w:cs="Arial"/>
          <w:color w:val="000000"/>
          <w:sz w:val="20"/>
          <w:szCs w:val="2"/>
          <w:lang w:val="lt-LT"/>
        </w:rPr>
      </w:pPr>
      <w:r w:rsidRPr="00BB74CC">
        <w:rPr>
          <w:rFonts w:ascii="Helvetica" w:eastAsia="Microsoft Sans Serif" w:hAnsi="Helvetica" w:cs="Arial"/>
          <w:noProof/>
          <w:color w:val="000000"/>
          <w:sz w:val="20"/>
          <w:szCs w:val="24"/>
          <w:lang w:val="lt-LT"/>
        </w:rPr>
        <w:pict w14:anchorId="4F8EB9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3" o:spid="_x0000_i1025" type="#_x0000_t75" style="width:144.75pt;height:150pt;visibility:visible;mso-wrap-style:square">
            <v:imagedata r:id="rId6" o:title=""/>
          </v:shape>
        </w:pict>
      </w:r>
    </w:p>
    <w:p w14:paraId="20C1B0D4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kur:</w:t>
      </w:r>
    </w:p>
    <w:p w14:paraId="41A973F5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Y6, Y7 ir Y8 kiekvienas yra vandenilis, o junginys (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Cmpd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) yra toks, kaip nurodyta toliau pateiktoje lentelėje:</w:t>
      </w:r>
    </w:p>
    <w:tbl>
      <w:tblPr>
        <w:tblOverlap w:val="never"/>
        <w:tblW w:w="0" w:type="auto"/>
        <w:jc w:val="center"/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592"/>
        <w:gridCol w:w="303"/>
        <w:gridCol w:w="1326"/>
        <w:gridCol w:w="1326"/>
        <w:gridCol w:w="303"/>
        <w:gridCol w:w="1326"/>
      </w:tblGrid>
      <w:tr w:rsidR="00BB74CC" w:rsidRPr="00BB74CC" w14:paraId="4D75DAD9" w14:textId="77777777" w:rsidTr="001D56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left w:w="29" w:type="dxa"/>
              <w:right w:w="29" w:type="dxa"/>
            </w:tcMar>
          </w:tcPr>
          <w:p w14:paraId="1CD247A9" w14:textId="77777777" w:rsidR="00BB74CC" w:rsidRPr="00BB74CC" w:rsidRDefault="00BB74CC" w:rsidP="00BB74CC">
            <w:pPr>
              <w:spacing w:after="0" w:line="360" w:lineRule="auto"/>
              <w:jc w:val="both"/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</w:pPr>
            <w:proofErr w:type="spellStart"/>
            <w:r w:rsidRPr="00BB74CC"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  <w:t>Cmpd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left w:w="29" w:type="dxa"/>
              <w:right w:w="29" w:type="dxa"/>
            </w:tcMar>
          </w:tcPr>
          <w:p w14:paraId="4A13E713" w14:textId="77777777" w:rsidR="00BB74CC" w:rsidRPr="00BB74CC" w:rsidRDefault="00BB74CC" w:rsidP="00BB74CC">
            <w:pPr>
              <w:tabs>
                <w:tab w:val="left" w:pos="571"/>
              </w:tabs>
              <w:spacing w:after="0" w:line="360" w:lineRule="auto"/>
              <w:jc w:val="both"/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</w:pPr>
            <w:r w:rsidRPr="00BB74CC"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  <w:t>Y1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left w:w="29" w:type="dxa"/>
              <w:right w:w="29" w:type="dxa"/>
            </w:tcMar>
          </w:tcPr>
          <w:p w14:paraId="7894A515" w14:textId="77777777" w:rsidR="00BB74CC" w:rsidRPr="00BB74CC" w:rsidRDefault="00BB74CC" w:rsidP="00BB74CC">
            <w:pPr>
              <w:spacing w:after="0" w:line="360" w:lineRule="auto"/>
              <w:jc w:val="both"/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</w:pPr>
            <w:r w:rsidRPr="00BB74CC"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  <w:t>Kiekvienas Y2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left w:w="29" w:type="dxa"/>
              <w:right w:w="29" w:type="dxa"/>
            </w:tcMar>
          </w:tcPr>
          <w:p w14:paraId="798E0705" w14:textId="77777777" w:rsidR="00BB74CC" w:rsidRPr="00BB74CC" w:rsidRDefault="00BB74CC" w:rsidP="00BB74CC">
            <w:pPr>
              <w:spacing w:after="0" w:line="360" w:lineRule="auto"/>
              <w:jc w:val="both"/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</w:pPr>
            <w:r w:rsidRPr="00BB74CC"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  <w:t>Kiekvienas Y3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left w:w="29" w:type="dxa"/>
              <w:right w:w="29" w:type="dxa"/>
            </w:tcMar>
          </w:tcPr>
          <w:p w14:paraId="58B03656" w14:textId="77777777" w:rsidR="00BB74CC" w:rsidRPr="00BB74CC" w:rsidRDefault="00BB74CC" w:rsidP="00BB74CC">
            <w:pPr>
              <w:spacing w:after="0" w:line="360" w:lineRule="auto"/>
              <w:jc w:val="both"/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</w:pPr>
            <w:r w:rsidRPr="00BB74CC"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  <w:t>Y4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B217441" w14:textId="77777777" w:rsidR="00BB74CC" w:rsidRPr="00BB74CC" w:rsidRDefault="00BB74CC" w:rsidP="00BB74CC">
            <w:pPr>
              <w:spacing w:after="0" w:line="360" w:lineRule="auto"/>
              <w:jc w:val="both"/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</w:pPr>
            <w:r w:rsidRPr="00BB74CC"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  <w:t>Kiekvienas Y5</w:t>
            </w:r>
          </w:p>
        </w:tc>
      </w:tr>
      <w:tr w:rsidR="00BB74CC" w:rsidRPr="00BB74CC" w14:paraId="2842E12A" w14:textId="77777777" w:rsidTr="001D56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3D598CC6" w14:textId="77777777" w:rsidR="00BB74CC" w:rsidRPr="00BB74CC" w:rsidRDefault="00BB74CC" w:rsidP="00BB74CC">
            <w:pPr>
              <w:spacing w:after="0" w:line="360" w:lineRule="auto"/>
              <w:jc w:val="both"/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</w:pPr>
            <w:r w:rsidRPr="00BB74CC"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2F7A6EE2" w14:textId="77777777" w:rsidR="00BB74CC" w:rsidRPr="00BB74CC" w:rsidRDefault="00BB74CC" w:rsidP="00BB74CC">
            <w:pPr>
              <w:spacing w:after="0" w:line="360" w:lineRule="auto"/>
              <w:jc w:val="both"/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</w:pPr>
            <w:r w:rsidRPr="00BB74CC"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06FC9D9C" w14:textId="77777777" w:rsidR="00BB74CC" w:rsidRPr="00BB74CC" w:rsidRDefault="00BB74CC" w:rsidP="00BB74CC">
            <w:pPr>
              <w:spacing w:after="0" w:line="360" w:lineRule="auto"/>
              <w:jc w:val="both"/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</w:pPr>
            <w:r w:rsidRPr="00BB74CC"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2437246B" w14:textId="77777777" w:rsidR="00BB74CC" w:rsidRPr="00BB74CC" w:rsidRDefault="00BB74CC" w:rsidP="00BB74CC">
            <w:pPr>
              <w:spacing w:after="0" w:line="360" w:lineRule="auto"/>
              <w:jc w:val="both"/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</w:pPr>
            <w:r w:rsidRPr="00BB74CC"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727CDFEE" w14:textId="77777777" w:rsidR="00BB74CC" w:rsidRPr="00BB74CC" w:rsidRDefault="00BB74CC" w:rsidP="00BB74CC">
            <w:pPr>
              <w:spacing w:after="0" w:line="360" w:lineRule="auto"/>
              <w:jc w:val="both"/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</w:pPr>
            <w:r w:rsidRPr="00BB74CC"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BA79D1B" w14:textId="77777777" w:rsidR="00BB74CC" w:rsidRPr="00BB74CC" w:rsidRDefault="00BB74CC" w:rsidP="00BB74CC">
            <w:pPr>
              <w:spacing w:after="0" w:line="360" w:lineRule="auto"/>
              <w:jc w:val="both"/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</w:pPr>
            <w:r w:rsidRPr="00BB74CC">
              <w:rPr>
                <w:rFonts w:ascii="Helvetica" w:eastAsia="Arial" w:hAnsi="Helvetica" w:cs="Arial"/>
                <w:color w:val="000000"/>
                <w:sz w:val="20"/>
                <w:szCs w:val="18"/>
                <w:lang w:val="lt-LT"/>
              </w:rPr>
              <w:t>H</w:t>
            </w:r>
          </w:p>
        </w:tc>
      </w:tr>
    </w:tbl>
    <w:p w14:paraId="28C4BF42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kur tuo atveju, kai pozicija yra konkrečiai pažymėta kaip „D“, toje pozicijoje yra bent 90 %</w:t>
      </w:r>
    </w:p>
    <w:p w14:paraId="1EEA06E5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deuterio įterpimo,</w:t>
      </w:r>
    </w:p>
    <w:p w14:paraId="13173059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bet kuris atomas, nepažymėtas „D“ (deuteris), yra su natūraliu izotopų kiekiu,</w:t>
      </w:r>
    </w:p>
    <w:p w14:paraId="7BA67FCC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ir kur druska yra pasirinkta iš sulfato,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pirosulfato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bisulfato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sulfito,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bisulfato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fosfato,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monohidrofosfato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divandenilio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 fosfato,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metafosfato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pirofosfato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chlorido, bromido, jodido, acetato,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propionato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dekanoato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kaprilato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akrilato,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formiato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izobutirato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kaprato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heptanoato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propiolato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oksalato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malonato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sukcinato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suberato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sebacato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fumarato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maleato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butin-1,4-dioato, heksin-1,6-dioato,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benzoato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chlorobenzoato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metilbenzoato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dinitrobenzoato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hidroksibenzoato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metoksibenzoato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ftalato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tereftalato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sulfonato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ksilensulfonato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fenilacetato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fenilpropionato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fenilbutirato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citrato, laktato, 3-hidroksibutirato,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glikolato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maleato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tartrato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metansulfonato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propansulfonato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naftalen-1-sulfonato, naftalen-2-sulfonato ir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mandelato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.</w:t>
      </w:r>
    </w:p>
    <w:p w14:paraId="3D81C187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</w:p>
    <w:p w14:paraId="35EA1ACE" w14:textId="77777777" w:rsidR="00BB74CC" w:rsidRPr="00BB74CC" w:rsidRDefault="00BB74CC" w:rsidP="00BB74CC">
      <w:pPr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2. Farmaciniu požiūriu priimtina druska pagal 1 punktą, kur tuo atveju, kai pozicija yra pažymėta konkrečiai kaip „D“, toje pozicijoje yra bent 95 % deuterio įterpimo.</w:t>
      </w:r>
    </w:p>
    <w:p w14:paraId="7113249A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</w:p>
    <w:p w14:paraId="06702B00" w14:textId="77777777" w:rsidR="00BB74CC" w:rsidRPr="00BB74CC" w:rsidRDefault="00BB74CC" w:rsidP="00BB74CC">
      <w:pPr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3. Farmaciniu požiūriu priimtina druska pagal 1 punktą, kur tuo atveju, kai pozicija yra pažymėta konkrečiai kaip „D“, toje pozicijoje yra bent 97 % deuterio įterpimo.</w:t>
      </w:r>
    </w:p>
    <w:p w14:paraId="182E46A4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</w:p>
    <w:p w14:paraId="4258B86D" w14:textId="77777777" w:rsidR="00BB74CC" w:rsidRPr="00BB74CC" w:rsidRDefault="00BB74CC" w:rsidP="00BB74CC">
      <w:pPr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4. Farmacinė kompozicija, apimanti farmaciniu požiūriu priimtiną druską pagal bet kurį iš 1–3 punktų ir farmaciniu požiūriu priimtiną nešiklį.</w:t>
      </w:r>
    </w:p>
    <w:p w14:paraId="60A805F0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</w:p>
    <w:p w14:paraId="28F8A7F3" w14:textId="77777777" w:rsidR="00BB74CC" w:rsidRPr="00BB74CC" w:rsidRDefault="00BB74CC" w:rsidP="00BB74CC">
      <w:pPr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5. Kompozicija pagal 4 punktą, papildomai apimanti terapinį agentą, pasirinktą iš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lenalidomido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panobinostato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kapecitabino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eksemestano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 ir jų derinių.</w:t>
      </w:r>
    </w:p>
    <w:p w14:paraId="664FCDFF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</w:p>
    <w:p w14:paraId="1E9E9CBC" w14:textId="77777777" w:rsidR="00BB74CC" w:rsidRPr="00BB74CC" w:rsidRDefault="00BB74CC" w:rsidP="00BB74CC">
      <w:pPr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6. Farmaciniu požiūriu priimtina druska pagal bet kurį iš 1–3 punktų arba farmacinė kompozicija pagal 4 punktą, skirta naudoti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mielofibrozės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kasos vėžio, prostatos vėžio, krūties vėžio, leukemijos, ne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Hodžkino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 limfomos, dauginės mielomos, psoriazės arba jų derinio gydymo metode subjektui, kuriam to reikia, apimantis farmaciniu požiūriu priimtinos druskos, kaip apibrėžta bet kuriame iš 1–3 punktų, arba farmacinės kompozicijos pagal 4 punktą, skyrimą subjektui.</w:t>
      </w:r>
    </w:p>
    <w:p w14:paraId="45EF9DC1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</w:p>
    <w:p w14:paraId="1483DD91" w14:textId="77777777" w:rsidR="00BB74CC" w:rsidRPr="00BB74CC" w:rsidRDefault="00BB74CC" w:rsidP="00BB74CC">
      <w:pPr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lastRenderedPageBreak/>
        <w:t xml:space="preserve">7. Farmaciniu požiūriu priimtina druska, skirta naudoti pagal 6 punktą, kur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mielofibrozė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 yra pirminė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mielofibrozė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mielofibrozė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 po tikrosios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policitemijos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mielofibrozė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 po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esencialines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trombocitemijos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esencialines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trombocitemijos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 arba jų derinys.</w:t>
      </w:r>
    </w:p>
    <w:p w14:paraId="21D7BF19" w14:textId="77777777" w:rsidR="00BB74CC" w:rsidRPr="00BB74CC" w:rsidRDefault="00BB74CC" w:rsidP="00BB74CC">
      <w:pPr>
        <w:spacing w:after="0" w:line="360" w:lineRule="auto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</w:p>
    <w:p w14:paraId="6CCAD721" w14:textId="77777777" w:rsidR="00BB74CC" w:rsidRPr="00BB74CC" w:rsidRDefault="00BB74CC" w:rsidP="00BB74CC">
      <w:pPr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sz w:val="20"/>
          <w:szCs w:val="18"/>
          <w:lang w:val="lt-LT"/>
        </w:rPr>
      </w:pPr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8. Farmaciniu požiūriu priimtina druska, skirta naudoti pagal 6 punktą, kur metodas papildomai apima terapinio agento, pasirinkto iš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lenalidomido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panobinostato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kapecitabino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, </w:t>
      </w:r>
      <w:proofErr w:type="spellStart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>eksemestano</w:t>
      </w:r>
      <w:proofErr w:type="spellEnd"/>
      <w:r w:rsidRPr="00BB74CC">
        <w:rPr>
          <w:rFonts w:ascii="Helvetica" w:eastAsia="Arial" w:hAnsi="Helvetica" w:cs="Arial"/>
          <w:color w:val="000000"/>
          <w:sz w:val="20"/>
          <w:szCs w:val="18"/>
          <w:lang w:val="lt-LT"/>
        </w:rPr>
        <w:t xml:space="preserve"> ir jų derinių, skyrimą subjektui, kuriam to reikia.</w:t>
      </w:r>
    </w:p>
    <w:p w14:paraId="0D6CB085" w14:textId="0AB2128E" w:rsidR="004E0125" w:rsidRPr="00BB74CC" w:rsidRDefault="004E0125" w:rsidP="00BB74CC"/>
    <w:sectPr w:rsidR="004E0125" w:rsidRPr="00BB74CC" w:rsidSect="00BB74CC">
      <w:pgSz w:w="11909" w:h="16840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7FCC" w14:textId="77777777" w:rsidR="00B33DE4" w:rsidRDefault="00B33DE4" w:rsidP="007B0A41">
      <w:pPr>
        <w:spacing w:after="0" w:line="240" w:lineRule="auto"/>
      </w:pPr>
      <w:r>
        <w:separator/>
      </w:r>
    </w:p>
  </w:endnote>
  <w:endnote w:type="continuationSeparator" w:id="0">
    <w:p w14:paraId="2C703EB3" w14:textId="77777777" w:rsidR="00B33DE4" w:rsidRDefault="00B33DE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C3C2" w14:textId="77777777" w:rsidR="00B33DE4" w:rsidRDefault="00B33DE4" w:rsidP="007B0A41">
      <w:pPr>
        <w:spacing w:after="0" w:line="240" w:lineRule="auto"/>
      </w:pPr>
      <w:r>
        <w:separator/>
      </w:r>
    </w:p>
  </w:footnote>
  <w:footnote w:type="continuationSeparator" w:id="0">
    <w:p w14:paraId="484BD655" w14:textId="77777777" w:rsidR="00B33DE4" w:rsidRDefault="00B33DE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7950"/>
    <w:rsid w:val="00053D3E"/>
    <w:rsid w:val="00062A8E"/>
    <w:rsid w:val="00065F0D"/>
    <w:rsid w:val="00070D8A"/>
    <w:rsid w:val="00092D0B"/>
    <w:rsid w:val="000B01F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74008"/>
    <w:rsid w:val="00192F10"/>
    <w:rsid w:val="001A3E8E"/>
    <w:rsid w:val="001B452C"/>
    <w:rsid w:val="001C1CC3"/>
    <w:rsid w:val="001C33D1"/>
    <w:rsid w:val="001D3F4E"/>
    <w:rsid w:val="001E46C0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83893"/>
    <w:rsid w:val="002B66D9"/>
    <w:rsid w:val="002E0F37"/>
    <w:rsid w:val="002F14F9"/>
    <w:rsid w:val="003039EC"/>
    <w:rsid w:val="003043DE"/>
    <w:rsid w:val="00316FB7"/>
    <w:rsid w:val="00334817"/>
    <w:rsid w:val="003636D8"/>
    <w:rsid w:val="003700E9"/>
    <w:rsid w:val="00370A78"/>
    <w:rsid w:val="00372A7E"/>
    <w:rsid w:val="0037691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228F2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E1DC0"/>
    <w:rsid w:val="004F06A1"/>
    <w:rsid w:val="00500B25"/>
    <w:rsid w:val="0053198F"/>
    <w:rsid w:val="005324BA"/>
    <w:rsid w:val="0053389E"/>
    <w:rsid w:val="00556FA2"/>
    <w:rsid w:val="00560B7D"/>
    <w:rsid w:val="005649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6CD"/>
    <w:rsid w:val="00675FB8"/>
    <w:rsid w:val="00683CBB"/>
    <w:rsid w:val="00683EAE"/>
    <w:rsid w:val="0069131F"/>
    <w:rsid w:val="006A369A"/>
    <w:rsid w:val="006A5176"/>
    <w:rsid w:val="006A7CC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50505"/>
    <w:rsid w:val="00852D8C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66904"/>
    <w:rsid w:val="00A814FD"/>
    <w:rsid w:val="00AA3A1F"/>
    <w:rsid w:val="00AD4691"/>
    <w:rsid w:val="00AE4C3F"/>
    <w:rsid w:val="00AE51EA"/>
    <w:rsid w:val="00AE7DF3"/>
    <w:rsid w:val="00AF3096"/>
    <w:rsid w:val="00AF7E15"/>
    <w:rsid w:val="00B200E3"/>
    <w:rsid w:val="00B226B6"/>
    <w:rsid w:val="00B264AD"/>
    <w:rsid w:val="00B32101"/>
    <w:rsid w:val="00B33DE4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B74CC"/>
    <w:rsid w:val="00BC4201"/>
    <w:rsid w:val="00BD054A"/>
    <w:rsid w:val="00BD2789"/>
    <w:rsid w:val="00BD5417"/>
    <w:rsid w:val="00C1001A"/>
    <w:rsid w:val="00C13EC7"/>
    <w:rsid w:val="00C220FE"/>
    <w:rsid w:val="00C2766E"/>
    <w:rsid w:val="00C30968"/>
    <w:rsid w:val="00C51C39"/>
    <w:rsid w:val="00C636DD"/>
    <w:rsid w:val="00C72847"/>
    <w:rsid w:val="00C73E71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36373"/>
    <w:rsid w:val="00E551C5"/>
    <w:rsid w:val="00E91AE0"/>
    <w:rsid w:val="00EA06E3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71BF2"/>
    <w:rsid w:val="00F87A00"/>
    <w:rsid w:val="00F9456B"/>
    <w:rsid w:val="00F94F6E"/>
    <w:rsid w:val="00FA380A"/>
    <w:rsid w:val="00FB2032"/>
    <w:rsid w:val="00FB2D33"/>
    <w:rsid w:val="00FB63E2"/>
    <w:rsid w:val="00FD0914"/>
    <w:rsid w:val="00FD3E6A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EA8177EB-03E6-4411-BC8F-C6D438A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4</cp:revision>
  <dcterms:created xsi:type="dcterms:W3CDTF">2025-07-11T05:50:00Z</dcterms:created>
  <dcterms:modified xsi:type="dcterms:W3CDTF">2025-08-14T10:14:00Z</dcterms:modified>
</cp:coreProperties>
</file>