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90FB" w14:textId="737D5A9F" w:rsidR="00AB11E1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6B138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vykdanti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</w:t>
      </w:r>
      <w:r w:rsidR="006B138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</w:t>
      </w:r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nčios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6B138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6B138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="006B138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</w:t>
      </w:r>
      <w:r w:rsidR="006B138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gydyti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susijusią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subjekte,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gydymo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slopikliu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visiškai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atsako,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dalies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atsako,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stabili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progresuoja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gydymas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čia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ląstele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čios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skyrimą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visiško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atsako,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dalinio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atsako,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stabilios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progresuojančios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laikotarpiu.</w:t>
      </w:r>
    </w:p>
    <w:p w14:paraId="3C2090FC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0FD" w14:textId="12460AB4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apimanti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ląstelę,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populiaciją,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vykd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</w:t>
      </w:r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nčios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kartu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slopikliu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gydant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susijusią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yje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žmogu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je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B11E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skiriama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žinduoliui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slopiklio</w:t>
      </w:r>
      <w:proofErr w:type="spellEnd"/>
      <w:r w:rsidR="00D716D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paskyrimo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.</w:t>
      </w:r>
    </w:p>
    <w:p w14:paraId="3C2090FE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0FF" w14:textId="3EA181E1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</w:p>
    <w:p w14:paraId="3C209100" w14:textId="3AA6DFC2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skiriama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kartu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tęs</w:t>
      </w:r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tiniu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skyrimu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nutraukus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skyrimą;</w:t>
      </w:r>
    </w:p>
    <w:p w14:paraId="3C209101" w14:textId="0556B841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čios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skyri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prasideda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praėjus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bent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savait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savait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savait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savait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iui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6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18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mėnesi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nuo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gydymo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slopikliu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pradžios;</w:t>
      </w:r>
    </w:p>
    <w:p w14:paraId="3C209102" w14:textId="74989889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visiškai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dalies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reaguoja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slopiklį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5133F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ibrutinibas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</w:p>
    <w:p w14:paraId="3C209103" w14:textId="4322E91A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identifikuo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jamas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kaip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visiškai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dalies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reaguojantis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čią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ląstelę.</w:t>
      </w:r>
    </w:p>
    <w:p w14:paraId="3C209104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05" w14:textId="541C8A66" w:rsidR="00F142C8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parinktas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ibrutinibo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GDC-0834,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RN-486,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CGI-560,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CGI-1764,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HM-71224,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CC-292,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ONO-4059,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CNX-774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LFM-A13.</w:t>
      </w:r>
    </w:p>
    <w:p w14:paraId="3C209106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07" w14:textId="15FB87CF" w:rsidR="00EC727F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-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vykdo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apimanči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surišantį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arp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membraninį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viduląstelinį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EC727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raišką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.</w:t>
      </w:r>
    </w:p>
    <w:p w14:paraId="3C209108" w14:textId="77777777" w:rsidR="00824409" w:rsidRPr="00FA683E" w:rsidRDefault="00824409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09" w14:textId="4B276689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6.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kur:</w:t>
      </w:r>
    </w:p>
    <w:p w14:paraId="3C20910A" w14:textId="3CA7EAFA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ląstelinis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kostimuliacinį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pirminį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domeną;</w:t>
      </w:r>
    </w:p>
    <w:p w14:paraId="3C20910B" w14:textId="1D4F5EBB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surišantį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apimantį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surišančio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lengvosios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komplementarumą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lemiančią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sritį</w:t>
      </w:r>
      <w:r w:rsidR="00D716D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(LC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CDR1),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lengvosios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komplementarumą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lemiančią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716D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D716D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(LC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CDR2),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lengvosios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komplementarumą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lemiančią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C530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3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(LC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CDR3),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sunkiosios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komplementarumą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lemian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C530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1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(HC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CDR1),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sunkiosios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komplementarumą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lemian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C530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2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(HC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CDR2)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sunkiosios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komplementarumą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lemian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C530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3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(HC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CDR3);</w:t>
      </w:r>
    </w:p>
    <w:p w14:paraId="3C20910C" w14:textId="6FEF4F88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pelės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lengvosios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kintamą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sritį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58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pel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sunkiosios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kintamą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sritį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58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;</w:t>
      </w:r>
    </w:p>
    <w:p w14:paraId="3C20910D" w14:textId="53CEEE3A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CDR1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25,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CDR2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26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CDR3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27;</w:t>
      </w:r>
    </w:p>
    <w:p w14:paraId="3C20910E" w14:textId="7F26C242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lastRenderedPageBreak/>
        <w:t>(v)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CDR2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20-23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HC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CDR3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E672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24;</w:t>
      </w:r>
    </w:p>
    <w:p w14:paraId="3C20910F" w14:textId="62621385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(vi)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</w:t>
      </w:r>
      <w:r w:rsidR="001968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pasižym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inčią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95-99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%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tapatum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ja;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</w:p>
    <w:p w14:paraId="3C209110" w14:textId="5088FB31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(vii)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482F7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jung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arp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membraniniu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82F7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lanksto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</w:t>
      </w:r>
      <w:r w:rsidR="00482F7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pvz.,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A2F4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lanksto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45.</w:t>
      </w:r>
    </w:p>
    <w:p w14:paraId="3C209111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12" w14:textId="599654C1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7.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6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6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humanizuotas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D0395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D0395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</w:p>
    <w:p w14:paraId="3C209113" w14:textId="76C5A1FD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humanizuotas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parinktą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iš: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7,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95-99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%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0395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tapati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jai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</w:p>
    <w:p w14:paraId="3C209114" w14:textId="52D89855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humanizuotas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anti-CD19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scFv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lengvosios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kintamą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sritį,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prijungtą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prie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sunkiosios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kintamo</w:t>
      </w:r>
      <w:r w:rsidR="006D30A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6D30A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srities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jung</w:t>
      </w:r>
      <w:r w:rsidR="006D30A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tuką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pvz.,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jungt</w:t>
      </w:r>
      <w:r w:rsidR="006D30A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uka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53.</w:t>
      </w:r>
    </w:p>
    <w:p w14:paraId="3C209115" w14:textId="77777777" w:rsidR="00F142C8" w:rsidRPr="00FA683E" w:rsidRDefault="00F142C8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16" w14:textId="0F956EBD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8.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3-7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2-7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kur:</w:t>
      </w:r>
    </w:p>
    <w:p w14:paraId="3C209117" w14:textId="495F6A71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="006D30A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arp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membraninį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baltymo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parinktą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iš: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T-ląstelių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receptoriaus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alfa,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AE69C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</w:t>
      </w:r>
      <w:r w:rsidR="007F1E4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dzeta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CD28,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epsilon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CD45,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CD5,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CD22,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CD33,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CD37,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CD64,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CD80,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CD86,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CD134,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CD137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CD154,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6444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="006D30A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arp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membraninis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15;</w:t>
      </w:r>
    </w:p>
    <w:p w14:paraId="3C209118" w14:textId="655A43AA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kostimuliacinį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pvz.,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kostimuliacinis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funkcinį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="00D6444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baltymo,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parinkto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iš: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OX40,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CD2,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CD27,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CD28,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ICAM-1,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LFA-1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(CD11a/CD18)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-1BB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(CD137),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pvz.,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kostimuliacinis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16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51;</w:t>
      </w:r>
    </w:p>
    <w:p w14:paraId="3C209119" w14:textId="7FE57A59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ląstelinį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="00D6444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pvz.,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kur:</w:t>
      </w:r>
    </w:p>
    <w:p w14:paraId="3C20911A" w14:textId="05978A96" w:rsidR="00DA6CE5" w:rsidRPr="00FA683E" w:rsidRDefault="00D7755C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viduląste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4-1BB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funkcin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F1E4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dzeta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funkcin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abu,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</w:p>
    <w:p w14:paraId="3C20911B" w14:textId="48C82540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(b)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viduląstelinis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signalinis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CD27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F1E4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dzeta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funkcinį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abu;</w:t>
      </w:r>
    </w:p>
    <w:p w14:paraId="3C20911C" w14:textId="5813683D" w:rsidR="00DA6CE5" w:rsidRPr="00FA683E" w:rsidRDefault="00AE672D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to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viduląstelinis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signalinis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domenas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apima:</w:t>
      </w:r>
    </w:p>
    <w:p w14:paraId="3C20911D" w14:textId="0A131F74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(c)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17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abi;</w:t>
      </w:r>
    </w:p>
    <w:p w14:paraId="3C20911E" w14:textId="66297093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(d)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abi;</w:t>
      </w:r>
    </w:p>
    <w:p w14:paraId="3C20911F" w14:textId="2908E25E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(e)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17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abi;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</w:p>
    <w:p w14:paraId="3C209120" w14:textId="05AFC6E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(f)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abi;</w:t>
      </w:r>
    </w:p>
    <w:p w14:paraId="3C209121" w14:textId="5D0D3A86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papildomai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lyderi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nę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pvz.,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lyderi</w:t>
      </w:r>
      <w:r w:rsidR="00D7755C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aminorūgščių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13;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824409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</w:p>
    <w:p w14:paraId="3C209122" w14:textId="0552649F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aminorūgščių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32,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33,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35,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37,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40,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SEQ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Nr.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42.</w:t>
      </w:r>
    </w:p>
    <w:p w14:paraId="3C209123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24" w14:textId="3CBB8F54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3-8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2-8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reguliuojamas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(RCAR),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RCAR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apima:</w:t>
      </w:r>
    </w:p>
    <w:p w14:paraId="3C209125" w14:textId="4B440330" w:rsidR="00DA6CE5" w:rsidRPr="00FA683E" w:rsidRDefault="003B65C6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element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apimant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vidu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ląstelinį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signali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pirmąjį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perjungimo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domeną,</w:t>
      </w:r>
    </w:p>
    <w:p w14:paraId="3C209126" w14:textId="2B0A7555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lastRenderedPageBreak/>
        <w:t>(b)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antigeną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rišan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tį</w:t>
      </w:r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elementą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apiman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antigeną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surišantį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riša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antrąjį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perjungimo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domeną;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</w:p>
    <w:p w14:paraId="3C209127" w14:textId="6F30A069" w:rsidR="00DA6CE5" w:rsidRPr="00FA683E" w:rsidRDefault="003B65C6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arp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membranin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domen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ą.</w:t>
      </w:r>
    </w:p>
    <w:p w14:paraId="3C209128" w14:textId="77777777" w:rsidR="00712570" w:rsidRPr="00FA683E" w:rsidRDefault="00712570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29" w14:textId="497E6D3A" w:rsidR="009C7AF6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3-9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susijusi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raiška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vėžys,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3B65C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vėžys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parinktas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iš: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hAnsi="Helvetica" w:cs="Arial"/>
          <w:sz w:val="20"/>
          <w:szCs w:val="24"/>
        </w:rPr>
        <w:t>hematologinio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9C7AF6" w:rsidRPr="00FA683E">
        <w:rPr>
          <w:rFonts w:ascii="Helvetica" w:hAnsi="Helvetica" w:cs="Arial"/>
          <w:sz w:val="20"/>
          <w:szCs w:val="24"/>
        </w:rPr>
        <w:t>vėžio,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9C7AF6" w:rsidRPr="00FA683E">
        <w:rPr>
          <w:rFonts w:ascii="Helvetica" w:hAnsi="Helvetica" w:cs="Arial"/>
          <w:sz w:val="20"/>
          <w:szCs w:val="24"/>
        </w:rPr>
        <w:t>tokio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9C7AF6" w:rsidRPr="00FA683E">
        <w:rPr>
          <w:rFonts w:ascii="Helvetica" w:hAnsi="Helvetica" w:cs="Arial"/>
          <w:sz w:val="20"/>
          <w:szCs w:val="24"/>
        </w:rPr>
        <w:t>kaip,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lėtinė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limfocitinė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(LLL),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mantijos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(MLL),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dauginė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mieloma,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ūminė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limfoidinė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leukemija/ūminė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limfoblastinė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(ŪLL),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Hodžkino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FA683E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ūminė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limfoidinė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leukemija/B</w:t>
      </w:r>
      <w:r w:rsidR="00FA683E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ūminė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limfoblastinė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(BŪLL),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="00FA683E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ūminė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limfoidinė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leukemija/T</w:t>
      </w:r>
      <w:r w:rsidR="00FA683E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ūminė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limfoblastinė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(TŪLL),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617DCD" w:rsidRPr="00FA683E">
        <w:rPr>
          <w:rFonts w:ascii="Helvetica" w:hAnsi="Helvetica" w:cs="Arial"/>
          <w:sz w:val="20"/>
          <w:szCs w:val="24"/>
        </w:rPr>
        <w:t>smulkialimfocitinė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(SLL),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prolimfocitinė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blastinė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plazmacitoidinių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dendritinių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neoplazma</w:t>
      </w:r>
      <w:proofErr w:type="spellEnd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rki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difuzinė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didelių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(D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L),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susijusi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lėtiniu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uždegimu,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folikulinė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pediatrinė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folikulinė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plaukuotųjų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leukemija,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mažųjų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ląstelių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arba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didžiųjų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ląstelių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folikulinė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limfoma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piktybinės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limfoproliferacinės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būklės,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MALT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="00617DCD" w:rsidRPr="00FA683E">
        <w:rPr>
          <w:rFonts w:ascii="Helvetica" w:hAnsi="Helvetica" w:cs="Arial"/>
          <w:sz w:val="20"/>
          <w:szCs w:val="24"/>
        </w:rPr>
        <w:t>su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gleivine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susijusi</w:t>
      </w:r>
      <w:r w:rsidR="00A85951" w:rsidRPr="00FA683E">
        <w:rPr>
          <w:rFonts w:ascii="Helvetica" w:hAnsi="Helvetica" w:cs="Arial"/>
          <w:sz w:val="20"/>
          <w:szCs w:val="24"/>
        </w:rPr>
        <w:t>o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617DCD" w:rsidRPr="00FA683E">
        <w:rPr>
          <w:rFonts w:ascii="Helvetica" w:hAnsi="Helvetica" w:cs="Arial"/>
          <w:sz w:val="20"/>
          <w:szCs w:val="24"/>
        </w:rPr>
        <w:t>limfoidinio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audinio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617DCD" w:rsidRPr="00FA683E">
        <w:rPr>
          <w:rFonts w:ascii="Helvetica" w:hAnsi="Helvetica" w:cs="Arial"/>
          <w:sz w:val="20"/>
          <w:szCs w:val="24"/>
        </w:rPr>
        <w:t>ekstranodalinė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marginalinės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zonos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617DCD" w:rsidRPr="00FA683E">
        <w:rPr>
          <w:rFonts w:ascii="Helvetica" w:hAnsi="Helvetica" w:cs="Arial"/>
          <w:sz w:val="20"/>
          <w:szCs w:val="24"/>
        </w:rPr>
        <w:t>limfoma</w:t>
      </w:r>
      <w:r w:rsidR="00A85951" w:rsidRPr="00FA683E">
        <w:rPr>
          <w:rFonts w:ascii="Helvetica" w:hAnsi="Helvetica" w:cs="Arial"/>
          <w:sz w:val="20"/>
          <w:szCs w:val="24"/>
        </w:rPr>
        <w:t>)</w:t>
      </w:r>
      <w:r w:rsidR="00617DCD" w:rsidRPr="00FA683E">
        <w:rPr>
          <w:rFonts w:ascii="Helvetica" w:hAnsi="Helvetica" w:cs="Arial"/>
          <w:sz w:val="20"/>
          <w:szCs w:val="24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617DCD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marginal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zonos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mielodisplazija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mielodisplazinis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sindromas,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ne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Hodžkino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plazmablastinė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plazmacitoidinių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dendritinių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</w:t>
      </w:r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eoplazma</w:t>
      </w:r>
      <w:proofErr w:type="spellEnd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alden</w:t>
      </w:r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š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tr</w:t>
      </w:r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</w:t>
      </w:r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makroglobulinemija</w:t>
      </w:r>
      <w:proofErr w:type="spellEnd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blužnies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marginal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zonos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blužnies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limfoma/leukemija,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blužnies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difuzinė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raudonosios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pulpos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smulkiųjų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B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ląstelių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limfoma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plaukuotųjų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leukemijos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variantas,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limfoplazmacitinė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sunkiosios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grandinės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plazm</w:t>
      </w:r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mieloma,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8049F" w:rsidRPr="00FA683E">
        <w:rPr>
          <w:rFonts w:ascii="Helvetica" w:hAnsi="Helvetica" w:cs="Arial"/>
          <w:sz w:val="20"/>
          <w:szCs w:val="24"/>
        </w:rPr>
        <w:t>kaulų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8049F" w:rsidRPr="00FA683E">
        <w:rPr>
          <w:rFonts w:ascii="Helvetica" w:hAnsi="Helvetica" w:cs="Arial"/>
          <w:sz w:val="20"/>
          <w:szCs w:val="24"/>
        </w:rPr>
        <w:t>solitarinė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8049F" w:rsidRPr="00FA683E">
        <w:rPr>
          <w:rFonts w:ascii="Helvetica" w:hAnsi="Helvetica" w:cs="Arial"/>
          <w:sz w:val="20"/>
          <w:szCs w:val="24"/>
        </w:rPr>
        <w:t>plazmocitoma</w:t>
      </w:r>
      <w:proofErr w:type="spellEnd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ekstr</w:t>
      </w:r>
      <w:r w:rsidR="0048049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askeleti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plazmocitoma</w:t>
      </w:r>
      <w:proofErr w:type="spellEnd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E78BF" w:rsidRPr="00FA683E">
        <w:rPr>
          <w:rFonts w:ascii="Helvetica" w:hAnsi="Helvetica" w:cs="Arial"/>
          <w:sz w:val="20"/>
          <w:szCs w:val="24"/>
        </w:rPr>
        <w:t>nodalinė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marginalinės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zonos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limfoma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FA683E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pediatrinė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E78BF" w:rsidRPr="00FA683E">
        <w:rPr>
          <w:rFonts w:ascii="Helvetica" w:hAnsi="Helvetica" w:cs="Arial"/>
          <w:sz w:val="20"/>
          <w:szCs w:val="24"/>
        </w:rPr>
        <w:t>nodalinė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marginalinės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zonos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limfoma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pirminė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odos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folikulų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centrinė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limfoma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limfomatoidinė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granulomatozė</w:t>
      </w:r>
      <w:proofErr w:type="spellEnd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pirminė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tarpuplaučio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užkrūčio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liaukos)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did</w:t>
      </w:r>
      <w:r w:rsidR="008E78B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žiųjų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intravaskulinė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did</w:t>
      </w:r>
      <w:r w:rsidR="008E78B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žiųjų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ALK+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did</w:t>
      </w:r>
      <w:r w:rsidR="008E78B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žiųjų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did</w:t>
      </w:r>
      <w:r w:rsidR="008E78B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žiųjų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atsirandanti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dėl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su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HHV8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susijusios</w:t>
      </w:r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8E78BF" w:rsidRPr="00FA683E">
        <w:rPr>
          <w:rFonts w:ascii="Helvetica" w:hAnsi="Helvetica" w:cs="Arial"/>
          <w:sz w:val="20"/>
          <w:szCs w:val="24"/>
        </w:rPr>
        <w:t>multicentrinės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FA683E" w:rsidRPr="00FA683E">
        <w:rPr>
          <w:rFonts w:ascii="Helvetica" w:hAnsi="Helvetica" w:cs="Arial"/>
          <w:sz w:val="20"/>
          <w:szCs w:val="24"/>
        </w:rPr>
        <w:t>K</w:t>
      </w:r>
      <w:r w:rsidR="008E78BF" w:rsidRPr="00FA683E">
        <w:rPr>
          <w:rFonts w:ascii="Helvetica" w:hAnsi="Helvetica" w:cs="Arial"/>
          <w:sz w:val="20"/>
          <w:szCs w:val="24"/>
        </w:rPr>
        <w:t>astlemano</w:t>
      </w:r>
      <w:proofErr w:type="spellEnd"/>
      <w:r w:rsidR="003B0C4A" w:rsidRPr="00FA683E">
        <w:rPr>
          <w:rFonts w:ascii="Helvetica" w:hAnsi="Helvetica" w:cs="Arial"/>
          <w:sz w:val="20"/>
          <w:szCs w:val="24"/>
        </w:rPr>
        <w:t xml:space="preserve"> </w:t>
      </w:r>
      <w:r w:rsidR="008E78BF" w:rsidRPr="00FA683E">
        <w:rPr>
          <w:rFonts w:ascii="Helvetica" w:hAnsi="Helvetica" w:cs="Arial"/>
          <w:sz w:val="20"/>
          <w:szCs w:val="24"/>
        </w:rPr>
        <w:t>ligos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pirminė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efuzinė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neklasifikuojama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9C7AF6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limfoma.</w:t>
      </w:r>
    </w:p>
    <w:p w14:paraId="3C20912A" w14:textId="77777777" w:rsidR="00A85951" w:rsidRPr="00FA683E" w:rsidRDefault="00A85951" w:rsidP="00FA683E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C20912B" w14:textId="3594AD61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11.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3-10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2-10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</w:p>
    <w:p w14:paraId="3C20912C" w14:textId="0CC0C2E1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kartu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citokinu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citokinas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IL-7,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IL-15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IL-21;</w:t>
      </w:r>
    </w:p>
    <w:p w14:paraId="3C20912D" w14:textId="57276B6B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kartu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agentu,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slopina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imuninę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sistemą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slopinančią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molekulę,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</w:t>
      </w:r>
      <w:r w:rsidR="008E78BF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rinktą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iš: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PD1,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PD-L1,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CTLA4,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TIM3,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CEACAM,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CEACAM-1,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CEACAM-3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CEACAM-5,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LAG3,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VISTA,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BTLA,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TIGIT,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LAIR1,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CD160,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2B4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TGFR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beta;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</w:p>
    <w:p w14:paraId="3C20912E" w14:textId="12312616" w:rsidR="004544B7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naudojimas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papildomai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FA683E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mažos,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imunitetą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stiprinančios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mTOR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dozės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skyrimą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subjektui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žinduoliui,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mTOR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everolimuzas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rapamicinas</w:t>
      </w:r>
      <w:proofErr w:type="spellEnd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.</w:t>
      </w:r>
    </w:p>
    <w:p w14:paraId="3C20912F" w14:textId="77777777" w:rsidR="00712570" w:rsidRPr="00FA683E" w:rsidRDefault="00712570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30" w14:textId="2A31ADA7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12.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3-11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2-11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</w:p>
    <w:p w14:paraId="3C209131" w14:textId="02E15352" w:rsidR="00DA6CE5" w:rsidRPr="00FA683E" w:rsidRDefault="004544B7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turi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mutaciją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identifikuotas,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ka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ip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j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turi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ntis</w:t>
      </w:r>
      <w:r w:rsidR="00DA6CE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;</w:t>
      </w:r>
    </w:p>
    <w:p w14:paraId="3C209132" w14:textId="36DC640B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susijusi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raiška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hematologinis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vėžys,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atsparumas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slopikliui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ei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vykd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anči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molekul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</w:t>
      </w:r>
      <w:r w:rsidR="004544B7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yje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abie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ms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uždelstas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silpnin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ta</w:t>
      </w:r>
      <w:r w:rsidR="001A7F05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;</w:t>
      </w:r>
    </w:p>
    <w:p w14:paraId="3C209133" w14:textId="596DF36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susijusi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hematologinis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vėžys,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hematologinio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remisija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užsitęsusi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hematologinio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atkry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laikas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pailgėjęs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;</w:t>
      </w:r>
    </w:p>
    <w:p w14:paraId="3C209134" w14:textId="5F09D509" w:rsidR="002A060B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lastRenderedPageBreak/>
        <w:t>(iv)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liga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hematologinis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vėžys,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identifikuojamas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kaip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dalies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reaguoja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ntis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nereaguoja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ntis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recidyvuoja</w:t>
      </w:r>
      <w:r w:rsidR="00712570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ntis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vieną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daugiau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hematologinio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vėžio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gydymo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būdų;</w:t>
      </w:r>
    </w:p>
    <w:p w14:paraId="3C209135" w14:textId="2E3A2B95" w:rsidR="002A060B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subjektui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žinduoliui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buvo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atlikta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limfodestrukcija</w:t>
      </w:r>
      <w:proofErr w:type="spellEnd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limfodestrukcija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vieno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daugiau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melfalano</w:t>
      </w:r>
      <w:proofErr w:type="spellEnd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citoksano</w:t>
      </w:r>
      <w:proofErr w:type="spellEnd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ciklofosfamido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fludarabino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skyrimą;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="002A060B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A8595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</w:p>
    <w:p w14:paraId="3C209136" w14:textId="63DD3A0B" w:rsidR="00311EB2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(vi)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paskyrimo,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subjekte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žinduolyje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sumažėja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vykdančių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PD1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raišką.</w:t>
      </w:r>
    </w:p>
    <w:p w14:paraId="3C209137" w14:textId="77777777" w:rsidR="00F142C8" w:rsidRPr="00FA683E" w:rsidRDefault="00F142C8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38" w14:textId="560763E6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13.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3-12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2-12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</w:p>
    <w:p w14:paraId="3C209139" w14:textId="51E0D4D6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ibrutinibas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ibrutinibas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paruoštas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vartoti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6,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7,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8,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9,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11,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daugiau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ciklų,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pvz.,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ciklo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trukmė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28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dien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s;</w:t>
      </w:r>
    </w:p>
    <w:p w14:paraId="3C20913A" w14:textId="7410DF60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BTK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slopiklis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ibrutinibas</w:t>
      </w:r>
      <w:proofErr w:type="spellEnd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o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ibrutinibo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dozė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maždaug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250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300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350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400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420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440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460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480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500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520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540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712570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560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580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600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mg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per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parą;</w:t>
      </w:r>
    </w:p>
    <w:p w14:paraId="3C20913B" w14:textId="3DD8AE81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(iii)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naudojimas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limfocitų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infuziją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bent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vien</w:t>
      </w:r>
      <w:r w:rsidR="00712570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CD19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čia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ląstele;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712570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712570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)</w:t>
      </w:r>
    </w:p>
    <w:p w14:paraId="3C20913C" w14:textId="1294462E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(iv)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čių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doz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6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7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7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7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8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8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8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9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ų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ių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.</w:t>
      </w:r>
    </w:p>
    <w:p w14:paraId="3C20913D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3E" w14:textId="21E0F0DA" w:rsidR="00DA6CE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14.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2-13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apima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1-5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10</w:t>
      </w:r>
      <w:r w:rsidRPr="00FA683E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</w:rPr>
        <w:t>8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či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</w:t>
      </w:r>
      <w:r w:rsidR="00311EB2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s.</w:t>
      </w:r>
    </w:p>
    <w:p w14:paraId="3C20913F" w14:textId="77777777" w:rsidR="00DA6CE5" w:rsidRPr="00FA683E" w:rsidRDefault="00DA6CE5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p w14:paraId="3C209140" w14:textId="028ECF92" w:rsidR="00D62675" w:rsidRPr="00FA683E" w:rsidRDefault="00DA6CE5" w:rsidP="00FA683E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15.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1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3-13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kompozicija,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skirta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naudoti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pagal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bet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kurį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iš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2-14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punktų,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minėta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CAR19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="00763861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ekspresuojan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ti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žmogaus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imuninė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efektorinė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ląstelių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populiacija,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kur</w:t>
      </w:r>
      <w:r w:rsidR="002B06F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pasirinktinai</w:t>
      </w:r>
      <w:r w:rsidR="002B06F4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,</w:t>
      </w:r>
      <w:r w:rsidR="00FA683E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="00712570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žmogaus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imuninė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proofErr w:type="spellStart"/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efektorinė</w:t>
      </w:r>
      <w:proofErr w:type="spellEnd"/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yra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žmogaus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T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arba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žmogaus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NK</w:t>
      </w:r>
      <w:r w:rsidR="003B0C4A"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 xml:space="preserve"> </w:t>
      </w:r>
      <w:r w:rsidRPr="00FA683E">
        <w:rPr>
          <w:rFonts w:ascii="Helvetica" w:eastAsia="Times New Roman" w:hAnsi="Helvetica" w:cs="Arial"/>
          <w:kern w:val="0"/>
          <w:sz w:val="20"/>
          <w:szCs w:val="24"/>
          <w:lang w:eastAsia="lt-LT"/>
        </w:rPr>
        <w:t>ląstelė.</w:t>
      </w:r>
    </w:p>
    <w:p w14:paraId="3C209141" w14:textId="77777777" w:rsidR="00871F70" w:rsidRPr="00FA683E" w:rsidRDefault="00871F70" w:rsidP="00FA683E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</w:rPr>
      </w:pPr>
    </w:p>
    <w:sectPr w:rsidR="00871F70" w:rsidRPr="00FA683E" w:rsidSect="00FA683E">
      <w:pgSz w:w="11906" w:h="16838" w:code="9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9146" w14:textId="77777777" w:rsidR="00497961" w:rsidRDefault="00497961" w:rsidP="00DA6CE5">
      <w:pPr>
        <w:spacing w:after="0" w:line="240" w:lineRule="auto"/>
      </w:pPr>
      <w:r>
        <w:separator/>
      </w:r>
    </w:p>
  </w:endnote>
  <w:endnote w:type="continuationSeparator" w:id="0">
    <w:p w14:paraId="3C209147" w14:textId="77777777" w:rsidR="00497961" w:rsidRDefault="00497961" w:rsidP="00DA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9144" w14:textId="77777777" w:rsidR="00497961" w:rsidRDefault="00497961" w:rsidP="00DA6CE5">
      <w:pPr>
        <w:spacing w:after="0" w:line="240" w:lineRule="auto"/>
      </w:pPr>
      <w:r>
        <w:separator/>
      </w:r>
    </w:p>
  </w:footnote>
  <w:footnote w:type="continuationSeparator" w:id="0">
    <w:p w14:paraId="3C209145" w14:textId="77777777" w:rsidR="00497961" w:rsidRDefault="00497961" w:rsidP="00DA6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E5"/>
    <w:rsid w:val="000760AE"/>
    <w:rsid w:val="000D7108"/>
    <w:rsid w:val="001133F2"/>
    <w:rsid w:val="00130DFA"/>
    <w:rsid w:val="00141557"/>
    <w:rsid w:val="001917CD"/>
    <w:rsid w:val="001968C6"/>
    <w:rsid w:val="001A6E79"/>
    <w:rsid w:val="001A7F05"/>
    <w:rsid w:val="002452F0"/>
    <w:rsid w:val="002970D4"/>
    <w:rsid w:val="002A060B"/>
    <w:rsid w:val="002B06F4"/>
    <w:rsid w:val="00300C05"/>
    <w:rsid w:val="00311EB2"/>
    <w:rsid w:val="003917F9"/>
    <w:rsid w:val="003A6952"/>
    <w:rsid w:val="003B0C4A"/>
    <w:rsid w:val="003B65C6"/>
    <w:rsid w:val="003C5304"/>
    <w:rsid w:val="004544B7"/>
    <w:rsid w:val="0048049F"/>
    <w:rsid w:val="00482F74"/>
    <w:rsid w:val="00497961"/>
    <w:rsid w:val="004E3817"/>
    <w:rsid w:val="004F5876"/>
    <w:rsid w:val="005133FD"/>
    <w:rsid w:val="005E3935"/>
    <w:rsid w:val="006021F0"/>
    <w:rsid w:val="00617DCD"/>
    <w:rsid w:val="006265B6"/>
    <w:rsid w:val="00660D92"/>
    <w:rsid w:val="00677086"/>
    <w:rsid w:val="006B138A"/>
    <w:rsid w:val="006D30A5"/>
    <w:rsid w:val="00712570"/>
    <w:rsid w:val="00763861"/>
    <w:rsid w:val="007D28AE"/>
    <w:rsid w:val="007F1E4C"/>
    <w:rsid w:val="00824409"/>
    <w:rsid w:val="00871F70"/>
    <w:rsid w:val="008B33BB"/>
    <w:rsid w:val="008E7245"/>
    <w:rsid w:val="008E78BF"/>
    <w:rsid w:val="00961F80"/>
    <w:rsid w:val="009C7AF6"/>
    <w:rsid w:val="009D1950"/>
    <w:rsid w:val="00A30C37"/>
    <w:rsid w:val="00A76C39"/>
    <w:rsid w:val="00A85951"/>
    <w:rsid w:val="00A92E73"/>
    <w:rsid w:val="00AA2F41"/>
    <w:rsid w:val="00AB11E1"/>
    <w:rsid w:val="00AE672D"/>
    <w:rsid w:val="00AE69CC"/>
    <w:rsid w:val="00B668E4"/>
    <w:rsid w:val="00B71F3C"/>
    <w:rsid w:val="00BF0CF3"/>
    <w:rsid w:val="00C241E1"/>
    <w:rsid w:val="00C4011A"/>
    <w:rsid w:val="00C55E07"/>
    <w:rsid w:val="00C916C9"/>
    <w:rsid w:val="00CC2AB9"/>
    <w:rsid w:val="00D010FB"/>
    <w:rsid w:val="00D0395B"/>
    <w:rsid w:val="00D62675"/>
    <w:rsid w:val="00D64446"/>
    <w:rsid w:val="00D716DB"/>
    <w:rsid w:val="00D7755C"/>
    <w:rsid w:val="00DA6CE5"/>
    <w:rsid w:val="00DE7A3A"/>
    <w:rsid w:val="00EB3AB6"/>
    <w:rsid w:val="00EC727F"/>
    <w:rsid w:val="00F03381"/>
    <w:rsid w:val="00F142C8"/>
    <w:rsid w:val="00F815C7"/>
    <w:rsid w:val="00FA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090F4"/>
  <w15:docId w15:val="{CD2B5929-9983-4A87-8ADD-D5A1BC1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2A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6CE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A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CE5"/>
  </w:style>
  <w:style w:type="paragraph" w:styleId="Porat">
    <w:name w:val="footer"/>
    <w:basedOn w:val="prastasis"/>
    <w:link w:val="PoratDiagrama"/>
    <w:uiPriority w:val="99"/>
    <w:unhideWhenUsed/>
    <w:rsid w:val="00DA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1735</Words>
  <Characters>10034</Characters>
  <Application>Microsoft Office Word</Application>
  <DocSecurity>0</DocSecurity>
  <Lines>164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Raimonda Kvietkauskaitė</cp:lastModifiedBy>
  <cp:revision>11</cp:revision>
  <dcterms:created xsi:type="dcterms:W3CDTF">2024-06-27T15:33:00Z</dcterms:created>
  <dcterms:modified xsi:type="dcterms:W3CDTF">2024-07-04T06:57:00Z</dcterms:modified>
</cp:coreProperties>
</file>