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E281" w14:textId="087C4574" w:rsidR="00B567E7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apimantis: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43D35C1C" w14:textId="13886DE1" w:rsidR="00B567E7" w:rsidRPr="008B3130" w:rsidRDefault="00B567E7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inhibitorių,</w:t>
      </w:r>
    </w:p>
    <w:p w14:paraId="1E8171B8" w14:textId="0D3AF4CC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venetoklaksas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priimtina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druska,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(VH)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(VL),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VH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sekas:</w:t>
      </w:r>
    </w:p>
    <w:p w14:paraId="66F4679F" w14:textId="12CA8843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HCDR3,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3;</w:t>
      </w:r>
    </w:p>
    <w:p w14:paraId="49383F6A" w14:textId="45A697CA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HCDR2,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2;</w:t>
      </w:r>
    </w:p>
    <w:p w14:paraId="0DE59AA1" w14:textId="399DAE89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HCDR1,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1;</w:t>
      </w:r>
    </w:p>
    <w:p w14:paraId="3C69D327" w14:textId="1A040ACB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LCDR3,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7;</w:t>
      </w:r>
    </w:p>
    <w:p w14:paraId="42D64FA4" w14:textId="33B7B93F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LCDR2,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6;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32BA2391" w14:textId="2EA61ACF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LCDR1,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5.</w:t>
      </w:r>
    </w:p>
    <w:p w14:paraId="4718DA2F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F3351D" w14:textId="7435522D" w:rsidR="006F4E3B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kuriame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VH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apimantį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70%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identišką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4,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apimantį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70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%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identišk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8.</w:t>
      </w:r>
    </w:p>
    <w:p w14:paraId="5FE2DA91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94B4F52" w14:textId="3C9E804F" w:rsidR="008B3130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kuriame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VH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apimantį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4,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apimantį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4E3B" w:rsidRPr="008B3130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72495F4A" w14:textId="27AD2932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3D99E36" w14:textId="75931799" w:rsidR="009C7337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1-3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IgG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ADCC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aktyvum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CDC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aktyvum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ADCP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aktyvum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defukozilinto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domeną.</w:t>
      </w:r>
    </w:p>
    <w:p w14:paraId="49F092AE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80F56F4" w14:textId="77777777" w:rsidR="008B3130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1-4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ARGX-1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(kusatuzumabas).</w:t>
      </w:r>
    </w:p>
    <w:p w14:paraId="180145E1" w14:textId="39123C7B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3E27CF8" w14:textId="7AECB06F" w:rsidR="00AB1505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kuriame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parinktas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grupės,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iš: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kintamo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(VL);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kintam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(VH);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viengrand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žio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(scFv);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F(ab')2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Fab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Fv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petį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turinčio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9C7337" w:rsidRPr="008B3130">
        <w:rPr>
          <w:rFonts w:ascii="Helvetica" w:eastAsia="Times New Roman" w:hAnsi="Helvetica" w:cs="Arial"/>
          <w:sz w:val="20"/>
          <w:szCs w:val="24"/>
          <w:lang w:eastAsia="lt-LT"/>
        </w:rPr>
        <w:t>monovalentinio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diakūn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trikūn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tetrakūn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kok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dary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to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derinant,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surenkant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sujungiant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tokius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surišančius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1505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fragmentus.</w:t>
      </w:r>
    </w:p>
    <w:p w14:paraId="22E0DA5C" w14:textId="77777777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725D1F7" w14:textId="5F551986" w:rsidR="002C37CA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1-6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kuriame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dary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atskiros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kompozicijos.</w:t>
      </w:r>
    </w:p>
    <w:p w14:paraId="70F4C2B3" w14:textId="0BA701F2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8DE4249" w14:textId="44760F29" w:rsidR="002C37CA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vieną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priešvėžinį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gydymui,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priešvėžinis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ūmin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leukemijos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gydymui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(ŪML).</w:t>
      </w:r>
    </w:p>
    <w:p w14:paraId="01A1F511" w14:textId="21024A6D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EAC66C7" w14:textId="77777777" w:rsidR="008B3130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ankstesnių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hipometilin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antį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hipometilin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azacitidinas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decitabinas.</w:t>
      </w:r>
    </w:p>
    <w:p w14:paraId="3D433B1B" w14:textId="6FEE0333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73F61E9" w14:textId="0D9B683B" w:rsidR="002C37CA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1-7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surišančio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venetoklakso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priimtinos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37CA" w:rsidRPr="008B3130">
        <w:rPr>
          <w:rFonts w:ascii="Helvetica" w:eastAsia="Times New Roman" w:hAnsi="Helvetica" w:cs="Arial"/>
          <w:sz w:val="20"/>
          <w:szCs w:val="24"/>
          <w:lang w:eastAsia="lt-LT"/>
        </w:rPr>
        <w:t>druskos.</w:t>
      </w:r>
    </w:p>
    <w:p w14:paraId="33147A28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59C0A8D" w14:textId="18FD9FEF" w:rsidR="005460B2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11.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9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surišančio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venetoklakso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priimtinos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druskos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(iii)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hipometilinančio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agento.</w:t>
      </w:r>
    </w:p>
    <w:p w14:paraId="3E4D9412" w14:textId="54ED5696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1365001" w14:textId="7D736FB0" w:rsidR="005460B2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ankstesnių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terapijoje.</w:t>
      </w:r>
    </w:p>
    <w:p w14:paraId="7C5FEDB9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8D03494" w14:textId="339F2BCC" w:rsidR="005460B2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ankstesnių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naviko,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gydymui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žmoguje.</w:t>
      </w:r>
    </w:p>
    <w:p w14:paraId="467E047B" w14:textId="301F8C43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0A21B45" w14:textId="5DA77B26" w:rsidR="008B3130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gydy</w:t>
      </w:r>
      <w:r w:rsidR="005460B2" w:rsidRPr="008B3130">
        <w:rPr>
          <w:rFonts w:ascii="Helvetica" w:eastAsia="Times New Roman" w:hAnsi="Helvetica" w:cs="Arial"/>
          <w:sz w:val="20"/>
          <w:szCs w:val="24"/>
          <w:lang w:eastAsia="lt-LT"/>
        </w:rPr>
        <w:t>mui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žmoguje,</w:t>
      </w:r>
    </w:p>
    <w:p w14:paraId="6B7EC00B" w14:textId="1955DBBD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kartu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venetoklaksu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priimtina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druska,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(VH)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VL),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VH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sekas:</w:t>
      </w:r>
    </w:p>
    <w:p w14:paraId="789A4C45" w14:textId="4C9102DA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HCDR3,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3;</w:t>
      </w:r>
    </w:p>
    <w:p w14:paraId="526CF105" w14:textId="4E44BA55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HCDR2,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2;</w:t>
      </w:r>
    </w:p>
    <w:p w14:paraId="386733B2" w14:textId="3B03CFB2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HCDR1,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1;</w:t>
      </w:r>
    </w:p>
    <w:p w14:paraId="6A36F633" w14:textId="0A6F2376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LCDR3,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7;</w:t>
      </w:r>
    </w:p>
    <w:p w14:paraId="598FE7C1" w14:textId="594D2E77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LCDR2,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6;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00BAC02B" w14:textId="081A4F6D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LCDR1,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5.</w:t>
      </w:r>
    </w:p>
    <w:p w14:paraId="2CBBCDBD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76AD810" w14:textId="4554C307" w:rsidR="00E63252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naviko,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gydymui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žmoguje,</w:t>
      </w:r>
    </w:p>
    <w:p w14:paraId="78EF9841" w14:textId="3E6A2076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kartu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rišančiu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fragmentu,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venetoklaksas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priimtina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druska,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(VH)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(VL),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VH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domenai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sekas:</w:t>
      </w:r>
    </w:p>
    <w:p w14:paraId="1AB0F508" w14:textId="066EB280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HCDR3,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129182439"/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3;</w:t>
      </w:r>
    </w:p>
    <w:p w14:paraId="11B4F612" w14:textId="6B2E2FDF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HCDR2,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2;</w:t>
      </w:r>
    </w:p>
    <w:p w14:paraId="6650D2EC" w14:textId="7E176D89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HCDR1,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1;</w:t>
      </w:r>
    </w:p>
    <w:p w14:paraId="45B8A564" w14:textId="564D9B94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LCDR3,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7;</w:t>
      </w:r>
    </w:p>
    <w:p w14:paraId="57ADB841" w14:textId="3CE1487E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LCDR2,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6;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3E828807" w14:textId="218783BD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LCDR1,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apimančią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susidedančią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Nr.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5.</w:t>
      </w:r>
    </w:p>
    <w:bookmarkEnd w:id="0"/>
    <w:p w14:paraId="30A95C65" w14:textId="77777777" w:rsidR="00E63252" w:rsidRPr="008B3130" w:rsidRDefault="00E63252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C2ECB5F" w14:textId="70476669" w:rsidR="00E63252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14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subjektui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azacitidinas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63252" w:rsidRPr="008B3130">
        <w:rPr>
          <w:rFonts w:ascii="Helvetica" w:eastAsia="Times New Roman" w:hAnsi="Helvetica" w:cs="Arial"/>
          <w:sz w:val="20"/>
          <w:szCs w:val="24"/>
          <w:lang w:eastAsia="lt-LT"/>
        </w:rPr>
        <w:t>decitabinas.</w:t>
      </w:r>
    </w:p>
    <w:p w14:paraId="185B73EC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A3CE96F" w14:textId="7E071ED5" w:rsidR="00922B51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vieną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1-11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naviko,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gydymo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būdu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žmoguje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minėtas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minėto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derinio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veiksmingo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kiekio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skyrimą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subjektui.</w:t>
      </w:r>
    </w:p>
    <w:p w14:paraId="7DD40CC8" w14:textId="7236D433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AFB3D1B" w14:textId="398A8D3E" w:rsidR="00C93B11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14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17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236416BE" w14:textId="2EE8FE47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parinktas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naujai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diagnozuotų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recidyvuojančių/atsparių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gydymui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navikų,</w:t>
      </w:r>
    </w:p>
    <w:p w14:paraId="51C93A02" w14:textId="3C77AE6D" w:rsidR="00C93B11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ir (arba)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navikas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parinktas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iš: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ūminės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mieloidinės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leukemijos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Ū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ML);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mielodispla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st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ini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sindrom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(MDS);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mieloproliferacini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eoplazmų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(MPN);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lėtinė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mieloidinė</w:t>
      </w:r>
      <w:r w:rsidR="00922B51" w:rsidRPr="008B313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leukemij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(LML);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lėtinė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mielomonocitinė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leukemij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MML),</w:t>
      </w:r>
    </w:p>
    <w:p w14:paraId="2FC34767" w14:textId="17F6F057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ūminė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mieloidinė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leukemija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Ū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ML).</w:t>
      </w:r>
    </w:p>
    <w:p w14:paraId="71970ABD" w14:textId="566B55DA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A83EA13" w14:textId="2FB29200" w:rsidR="00C93B11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19.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18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41B7A6A8" w14:textId="1B56462B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subjektas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21E6A" w:rsidRPr="008B3130">
        <w:rPr>
          <w:rFonts w:ascii="Helvetica" w:eastAsia="Times New Roman" w:hAnsi="Helvetica" w:cs="Arial"/>
          <w:sz w:val="20"/>
          <w:szCs w:val="24"/>
          <w:lang w:eastAsia="lt-LT"/>
        </w:rPr>
        <w:t>pacientas,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sergantis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naujai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diagnozuota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Ū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kuriam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negalima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taikyti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standartinės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intensyvios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chemoterapijos,</w:t>
      </w:r>
    </w:p>
    <w:p w14:paraId="3D814702" w14:textId="1CD09FF6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subjektas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pacientas,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sergantis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naujai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diagnozuota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ŪML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metų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vyresnis,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pacientas,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sergantis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naujai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diagnozuota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06147" w:rsidRPr="008B3130">
        <w:rPr>
          <w:rFonts w:ascii="Helvetica" w:eastAsia="Times New Roman" w:hAnsi="Helvetica" w:cs="Arial"/>
          <w:sz w:val="20"/>
          <w:szCs w:val="24"/>
          <w:lang w:eastAsia="lt-LT"/>
        </w:rPr>
        <w:t>ŪML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turintis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gretutinių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ligų,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dėl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negalima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taikyti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standartinės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intensyvios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chemoterapijos.</w:t>
      </w:r>
    </w:p>
    <w:p w14:paraId="707F23F5" w14:textId="77777777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38DF89C" w14:textId="6EC96642" w:rsidR="00C93B11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20.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17-19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punktų.</w:t>
      </w:r>
    </w:p>
    <w:p w14:paraId="18874D32" w14:textId="76620E1A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doze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0,1-25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mg/kg,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geriau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mg/kg,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19A92672" w14:textId="3F64D88E" w:rsidR="00C93B11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ir (arba)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doze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100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mg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-600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93B11" w:rsidRPr="008B3130">
        <w:rPr>
          <w:rFonts w:ascii="Helvetica" w:eastAsia="Times New Roman" w:hAnsi="Helvetica" w:cs="Arial"/>
          <w:sz w:val="20"/>
          <w:szCs w:val="24"/>
          <w:lang w:eastAsia="lt-LT"/>
        </w:rPr>
        <w:t>mg.</w:t>
      </w:r>
    </w:p>
    <w:p w14:paraId="29E6A537" w14:textId="1AD48CB1" w:rsidR="008B3130" w:rsidRPr="008B3130" w:rsidRDefault="008B3130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934AE7F" w14:textId="58936716" w:rsidR="00C93B11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21.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17-20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4516F1C3" w14:textId="6422856C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azacitidiną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eta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pą,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subjektui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azacitidinas,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azacitidin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doz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70-80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mg/m</w:t>
      </w:r>
      <w:r w:rsidRPr="008B3130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2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75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mg/m</w:t>
      </w:r>
      <w:r w:rsidRPr="008B3130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2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1C45A573" w14:textId="29CCB793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decitabiną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etapą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subjektui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decitabinas,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decitabin</w:t>
      </w:r>
      <w:r w:rsidR="00C6309A" w:rsidRPr="008B3130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skiriama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doze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15-25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mg/m</w:t>
      </w:r>
      <w:r w:rsidRPr="008B3130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2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20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mg/m</w:t>
      </w:r>
      <w:r w:rsidRPr="008B3130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2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6E8FDED" w14:textId="67261241" w:rsidR="00C93B11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3623C13" w14:textId="67A940D9" w:rsidR="00A839B6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22.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17-21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kaulų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čiulpų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transplantacijos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subjektui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atlikimą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AA7699D" w14:textId="77777777" w:rsidR="00AE36CC" w:rsidRPr="008B3130" w:rsidRDefault="00AE36CC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578AEEA" w14:textId="77777777" w:rsidR="008B3130" w:rsidRPr="008B3130" w:rsidRDefault="00C93B11" w:rsidP="008B313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23.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antigeną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67E7" w:rsidRPr="008B3130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kurie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7CCD" w:rsidRPr="008B3130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CD70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BCL-2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derinys,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17-22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vieno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priešvėžinių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tinkamų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mieloidini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piktybini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navik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Ū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gydy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mui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39B6" w:rsidRPr="008B3130">
        <w:rPr>
          <w:rFonts w:ascii="Helvetica" w:eastAsia="Times New Roman" w:hAnsi="Helvetica" w:cs="Arial"/>
          <w:sz w:val="20"/>
          <w:szCs w:val="24"/>
          <w:lang w:eastAsia="lt-LT"/>
        </w:rPr>
        <w:t>skyrimą,</w:t>
      </w:r>
    </w:p>
    <w:p w14:paraId="538B752A" w14:textId="38B3850A" w:rsidR="00AE36CC" w:rsidRPr="008B3130" w:rsidRDefault="00C93B11" w:rsidP="008B313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pasirinktinai,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vienas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papildomų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priešvėžinių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parinkti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iš: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selektino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(pvz.,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GMI-1271);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FMS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tipo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tirozino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kinazės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receptoriaus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3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(FLT3)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(pvz.,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midostaurin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gilteritinib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ciklino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priklausom</w:t>
      </w:r>
      <w:r w:rsidR="00E31A44" w:rsidRPr="008B313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kinazės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aminopeptidazės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JAK/STAT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citarabin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fludarabin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antraciklino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jungini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(pvz.,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daunorubicin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idarubicin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doksorubicin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hidroksikarbamid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Vyxeos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IDH1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IDH2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toki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i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dhifa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nasideniba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t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ibsovo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(arba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ivosidenibas);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94102" w:rsidRPr="008B3130">
        <w:rPr>
          <w:rFonts w:ascii="Helvetica" w:eastAsia="Times New Roman" w:hAnsi="Helvetica" w:cs="Arial"/>
          <w:sz w:val="20"/>
          <w:szCs w:val="24"/>
          <w:lang w:eastAsia="lt-LT"/>
        </w:rPr>
        <w:t>Smo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94102" w:rsidRPr="008B3130">
        <w:rPr>
          <w:rFonts w:ascii="Helvetica" w:eastAsia="Times New Roman" w:hAnsi="Helvetica" w:cs="Arial"/>
          <w:sz w:val="20"/>
          <w:szCs w:val="24"/>
          <w:lang w:eastAsia="lt-LT"/>
        </w:rPr>
        <w:t>baltymo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694102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toki</w:t>
      </w:r>
      <w:r w:rsidR="00694102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lasdegib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bromodomeno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356918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taikinių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terapijos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CD123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CD33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HDAC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taikinių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terapijos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357F" w:rsidRPr="008B3130">
        <w:rPr>
          <w:rFonts w:ascii="Helvetica" w:eastAsia="Times New Roman" w:hAnsi="Helvetica" w:cs="Arial"/>
          <w:color w:val="000000"/>
          <w:sz w:val="20"/>
          <w:szCs w:val="24"/>
          <w:lang w:eastAsia="lt-LT"/>
        </w:rPr>
        <w:t>LSC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agent</w:t>
      </w:r>
      <w:r w:rsidR="00E7357F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agentų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nukreipiamų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Ū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ML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kaulų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čiulpų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nišą;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NEDD8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aktyvinančių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fermentų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inhibitorių,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tokių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pevonedistatas;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G-CSF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topoizomerazės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toki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8B3130">
        <w:rPr>
          <w:rFonts w:ascii="Helvetica" w:eastAsia="Times New Roman" w:hAnsi="Helvetica" w:cs="Arial"/>
          <w:sz w:val="20"/>
          <w:szCs w:val="24"/>
          <w:lang w:eastAsia="lt-LT"/>
        </w:rPr>
        <w:t>mitoksantronas,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selineksoras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8B3130" w:rsidRPr="008B313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E36CC" w:rsidRPr="008B3130">
        <w:rPr>
          <w:rFonts w:ascii="Helvetica" w:eastAsia="Times New Roman" w:hAnsi="Helvetica" w:cs="Arial"/>
          <w:sz w:val="20"/>
          <w:szCs w:val="24"/>
          <w:lang w:eastAsia="lt-LT"/>
        </w:rPr>
        <w:t>etopozidas.</w:t>
      </w:r>
    </w:p>
    <w:sectPr w:rsidR="00AE36CC" w:rsidRPr="008B3130" w:rsidSect="008B313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5323" w14:textId="77777777" w:rsidR="00C83520" w:rsidRDefault="00C83520" w:rsidP="00C36CD3">
      <w:pPr>
        <w:spacing w:after="0" w:line="240" w:lineRule="auto"/>
      </w:pPr>
      <w:r>
        <w:separator/>
      </w:r>
    </w:p>
  </w:endnote>
  <w:endnote w:type="continuationSeparator" w:id="0">
    <w:p w14:paraId="3A86B3AB" w14:textId="77777777" w:rsidR="00C83520" w:rsidRDefault="00C83520" w:rsidP="00C3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5012" w14:textId="77777777" w:rsidR="00C83520" w:rsidRDefault="00C83520" w:rsidP="00C36CD3">
      <w:pPr>
        <w:spacing w:after="0" w:line="240" w:lineRule="auto"/>
      </w:pPr>
      <w:r>
        <w:separator/>
      </w:r>
    </w:p>
  </w:footnote>
  <w:footnote w:type="continuationSeparator" w:id="0">
    <w:p w14:paraId="2F4A1BA9" w14:textId="77777777" w:rsidR="00C83520" w:rsidRDefault="00C83520" w:rsidP="00C3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11"/>
    <w:rsid w:val="002538CF"/>
    <w:rsid w:val="002C37CA"/>
    <w:rsid w:val="00356918"/>
    <w:rsid w:val="00383CB3"/>
    <w:rsid w:val="005460B2"/>
    <w:rsid w:val="00694102"/>
    <w:rsid w:val="006D0BDB"/>
    <w:rsid w:val="006F4E3B"/>
    <w:rsid w:val="008B3130"/>
    <w:rsid w:val="00922B51"/>
    <w:rsid w:val="00930A42"/>
    <w:rsid w:val="009C7337"/>
    <w:rsid w:val="00A839B6"/>
    <w:rsid w:val="00AB1505"/>
    <w:rsid w:val="00AE36CC"/>
    <w:rsid w:val="00B567E7"/>
    <w:rsid w:val="00BD7CCD"/>
    <w:rsid w:val="00C36CD3"/>
    <w:rsid w:val="00C56D2A"/>
    <w:rsid w:val="00C6309A"/>
    <w:rsid w:val="00C83520"/>
    <w:rsid w:val="00C93B11"/>
    <w:rsid w:val="00E06147"/>
    <w:rsid w:val="00E31A44"/>
    <w:rsid w:val="00E63252"/>
    <w:rsid w:val="00E7357F"/>
    <w:rsid w:val="00EE0B27"/>
    <w:rsid w:val="00F21E6A"/>
    <w:rsid w:val="00F43BEA"/>
    <w:rsid w:val="00F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4C93"/>
  <w15:chartTrackingRefBased/>
  <w15:docId w15:val="{3A6EAF63-BD8C-44AE-A350-0EAC672B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D3"/>
  </w:style>
  <w:style w:type="paragraph" w:styleId="Footer">
    <w:name w:val="footer"/>
    <w:basedOn w:val="Normal"/>
    <w:link w:val="FooterChar"/>
    <w:uiPriority w:val="99"/>
    <w:unhideWhenUsed/>
    <w:rsid w:val="00C36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D3"/>
  </w:style>
  <w:style w:type="paragraph" w:styleId="ListParagraph">
    <w:name w:val="List Paragraph"/>
    <w:basedOn w:val="Normal"/>
    <w:uiPriority w:val="34"/>
    <w:qFormat/>
    <w:rsid w:val="00B5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1244</Words>
  <Characters>7814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2023-03-10T12:54:00Z</dcterms:created>
  <dcterms:modified xsi:type="dcterms:W3CDTF">2023-03-10T12:54:00Z</dcterms:modified>
</cp:coreProperties>
</file>