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B3E0A" w14:textId="7E3C2D9A" w:rsidR="00304A20"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t xml:space="preserve">1.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arba antigeną surišantis jo fragmentas, kuris specifiškai rišasi su žmogaus </w:t>
      </w:r>
      <w:proofErr w:type="spellStart"/>
      <w:r w:rsidRPr="00304A20">
        <w:rPr>
          <w:rFonts w:ascii="Helvetica" w:hAnsi="Helvetica"/>
          <w:sz w:val="20"/>
          <w:lang w:val="lt-LT"/>
        </w:rPr>
        <w:t>komplemento</w:t>
      </w:r>
      <w:proofErr w:type="spellEnd"/>
      <w:r w:rsidRPr="00304A20">
        <w:rPr>
          <w:rFonts w:ascii="Helvetica" w:hAnsi="Helvetica"/>
          <w:sz w:val="20"/>
          <w:lang w:val="lt-LT"/>
        </w:rPr>
        <w:t xml:space="preserve"> faktoriumi C2, kur minėtas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arba minėtas antigeną surišantis jo fragmentas apima:</w:t>
      </w:r>
    </w:p>
    <w:p w14:paraId="0A57E4CC" w14:textId="77777777" w:rsidR="00304A20" w:rsidRPr="00304A20" w:rsidRDefault="00304A20" w:rsidP="00304A20">
      <w:pPr>
        <w:spacing w:after="0" w:line="360" w:lineRule="auto"/>
        <w:jc w:val="both"/>
        <w:rPr>
          <w:rFonts w:ascii="Helvetica" w:hAnsi="Helvetica"/>
          <w:sz w:val="20"/>
          <w:lang w:val="lt-LT"/>
        </w:rPr>
      </w:pPr>
      <w:r w:rsidRPr="00304A20">
        <w:rPr>
          <w:rFonts w:ascii="Helvetica" w:hAnsi="Helvetica"/>
          <w:sz w:val="20"/>
          <w:lang w:val="lt-LT"/>
        </w:rPr>
        <w:t>VH domeną, apimantį aminorūgščių seką, nurodytą SEQ ID Nr. 3; ir</w:t>
      </w:r>
    </w:p>
    <w:p w14:paraId="68F10D72" w14:textId="77777777" w:rsidR="00304A20" w:rsidRPr="00304A20" w:rsidRDefault="00304A20" w:rsidP="00304A20">
      <w:pPr>
        <w:spacing w:after="0" w:line="360" w:lineRule="auto"/>
        <w:jc w:val="both"/>
        <w:rPr>
          <w:rFonts w:ascii="Helvetica" w:hAnsi="Helvetica"/>
          <w:sz w:val="20"/>
          <w:lang w:val="lt-LT"/>
        </w:rPr>
      </w:pPr>
      <w:r w:rsidRPr="00304A20">
        <w:rPr>
          <w:rFonts w:ascii="Helvetica" w:hAnsi="Helvetica"/>
          <w:sz w:val="20"/>
          <w:lang w:val="lt-LT"/>
        </w:rPr>
        <w:t>VL domeną, apimantį aminorūgščių seką, nurodytą SEQ ID Nr. 2.</w:t>
      </w:r>
    </w:p>
    <w:p w14:paraId="029DB61E" w14:textId="77777777" w:rsidR="00304A20" w:rsidRPr="00304A20" w:rsidRDefault="00304A20" w:rsidP="00304A20">
      <w:pPr>
        <w:spacing w:after="0" w:line="360" w:lineRule="auto"/>
        <w:jc w:val="both"/>
        <w:rPr>
          <w:rFonts w:ascii="Helvetica" w:hAnsi="Helvetica"/>
          <w:sz w:val="20"/>
          <w:lang w:val="lt-LT"/>
        </w:rPr>
      </w:pPr>
    </w:p>
    <w:p w14:paraId="77605F5B" w14:textId="77777777" w:rsidR="00304A20"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t xml:space="preserve">2.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pagal 1 punktą, kur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apima viso ilgio </w:t>
      </w:r>
      <w:proofErr w:type="spellStart"/>
      <w:r w:rsidRPr="00304A20">
        <w:rPr>
          <w:rFonts w:ascii="Helvetica" w:hAnsi="Helvetica"/>
          <w:sz w:val="20"/>
          <w:lang w:val="lt-LT"/>
        </w:rPr>
        <w:t>monokloninį</w:t>
      </w:r>
      <w:proofErr w:type="spellEnd"/>
      <w:r w:rsidRPr="00304A20">
        <w:rPr>
          <w:rFonts w:ascii="Helvetica" w:hAnsi="Helvetica"/>
          <w:sz w:val="20"/>
          <w:lang w:val="lt-LT"/>
        </w:rPr>
        <w:t xml:space="preserve"> antikūną.</w:t>
      </w:r>
    </w:p>
    <w:p w14:paraId="47372AAF" w14:textId="77777777" w:rsidR="00304A20" w:rsidRPr="00304A20" w:rsidRDefault="00304A20" w:rsidP="00304A20">
      <w:pPr>
        <w:spacing w:after="0" w:line="360" w:lineRule="auto"/>
        <w:jc w:val="both"/>
        <w:rPr>
          <w:rFonts w:ascii="Helvetica" w:hAnsi="Helvetica"/>
          <w:sz w:val="20"/>
          <w:lang w:val="lt-LT"/>
        </w:rPr>
      </w:pPr>
    </w:p>
    <w:p w14:paraId="2A6D5976" w14:textId="77777777" w:rsidR="00304A20"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t xml:space="preserve">3.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arba antigeną surišantis jo fragmentas pagal 1 arba 2 punktą, kur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arba antigeną surišantis jo fragmentas apima žmogaus </w:t>
      </w:r>
      <w:proofErr w:type="spellStart"/>
      <w:r w:rsidRPr="00304A20">
        <w:rPr>
          <w:rFonts w:ascii="Helvetica" w:hAnsi="Helvetica"/>
          <w:sz w:val="20"/>
          <w:lang w:val="lt-LT"/>
        </w:rPr>
        <w:t>IgG</w:t>
      </w:r>
      <w:proofErr w:type="spellEnd"/>
      <w:r w:rsidRPr="00304A20">
        <w:rPr>
          <w:rFonts w:ascii="Helvetica" w:hAnsi="Helvetica"/>
          <w:sz w:val="20"/>
          <w:lang w:val="lt-LT"/>
        </w:rPr>
        <w:t xml:space="preserve"> sunkiosios grandinės pastovųjį domeną.</w:t>
      </w:r>
    </w:p>
    <w:p w14:paraId="400DCE32" w14:textId="77777777" w:rsidR="00304A20" w:rsidRPr="00304A20" w:rsidRDefault="00304A20" w:rsidP="00304A20">
      <w:pPr>
        <w:spacing w:after="0" w:line="360" w:lineRule="auto"/>
        <w:jc w:val="both"/>
        <w:rPr>
          <w:rFonts w:ascii="Helvetica" w:hAnsi="Helvetica"/>
          <w:sz w:val="20"/>
          <w:lang w:val="lt-LT"/>
        </w:rPr>
      </w:pPr>
    </w:p>
    <w:p w14:paraId="6CAC3532" w14:textId="77777777" w:rsidR="00304A20"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t xml:space="preserve">4.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arba antigeną surišantis jo fragmentas pagal 3 punktą, kur sunkiosios grandinės pastovusis domenas apima žmogaus IgG1 sunkiosios grandinės pastovųjį domeną, pasirinktinai, kur žmogaus IgG1 sunkiosios grandinės pastovusis domenas apima aminorūgščių seką, nurodytą SEQ ID Nr. 29, arba kur minėtas žmogaus IgG1 sunkiosios grandinės pastovusis domenas apima aminorūgščių seką, nurodytą SEQ ID Nr. 4.</w:t>
      </w:r>
    </w:p>
    <w:p w14:paraId="2581A19F" w14:textId="77777777" w:rsidR="00304A20" w:rsidRPr="00304A20" w:rsidRDefault="00304A20" w:rsidP="00304A20">
      <w:pPr>
        <w:spacing w:after="0" w:line="360" w:lineRule="auto"/>
        <w:jc w:val="both"/>
        <w:rPr>
          <w:rFonts w:ascii="Helvetica" w:hAnsi="Helvetica"/>
          <w:sz w:val="20"/>
          <w:lang w:val="lt-LT"/>
        </w:rPr>
      </w:pPr>
    </w:p>
    <w:p w14:paraId="79221E4F" w14:textId="77777777" w:rsidR="00304A20"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t xml:space="preserve">5.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arba antigeną surišantis jo fragmentas pagal 3 arba 4 punktą, kur sunkiosios grandinės pastovusis domenas apima aminorūgščių pakeitimus L234A ir L235A pagal ES numeravimo sistemą, ir/arba kur sunkiosios grandinės pastovusis domenas apima aminorūgščių pakeitimus H433K ir N434F pagal ES numeravimo sistemą.</w:t>
      </w:r>
    </w:p>
    <w:p w14:paraId="2CF1BCD4" w14:textId="77777777" w:rsidR="00304A20" w:rsidRPr="00304A20" w:rsidRDefault="00304A20" w:rsidP="00304A20">
      <w:pPr>
        <w:spacing w:after="0" w:line="360" w:lineRule="auto"/>
        <w:jc w:val="both"/>
        <w:rPr>
          <w:rFonts w:ascii="Helvetica" w:hAnsi="Helvetica"/>
          <w:sz w:val="20"/>
          <w:lang w:val="lt-LT"/>
        </w:rPr>
      </w:pPr>
    </w:p>
    <w:p w14:paraId="50E5DBDE" w14:textId="77777777" w:rsidR="00304A20"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t xml:space="preserve">6.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arba antigeną surišantis jo fragmentas pagal 3 punktą, kur sunkiosios grandinės pastovusis domenas apima žmogaus IgG4 sunkiosios grandinės pastovųjį domeną, pasirinktinai, kur žmogaus IgG4 sunkiosios grandinės pastovusis domenas apima aminorūgščių seką, nurodytą SEQ ID Nr. 5.</w:t>
      </w:r>
    </w:p>
    <w:p w14:paraId="1D30BF19" w14:textId="77777777" w:rsidR="00304A20" w:rsidRPr="00304A20" w:rsidRDefault="00304A20" w:rsidP="00304A20">
      <w:pPr>
        <w:spacing w:after="0" w:line="360" w:lineRule="auto"/>
        <w:jc w:val="both"/>
        <w:rPr>
          <w:rFonts w:ascii="Helvetica" w:hAnsi="Helvetica"/>
          <w:sz w:val="20"/>
          <w:lang w:val="lt-LT"/>
        </w:rPr>
      </w:pPr>
    </w:p>
    <w:p w14:paraId="721FE7B0" w14:textId="77777777" w:rsidR="00304A20"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t xml:space="preserve">7.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arba antigeną surišantis jo fragmentas pagal 1 arba 3 punktą, arba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pagal 2 punktą, kur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arba antigeną surišantis jo fragmentas apima sunkiąją grandinę, apimančią aminorūgščių seką, nurodytą SEQ ID Nr. 6, ir lengvąją grandinę, apimančią aminorūgščių seką, nurodytą SEQ ID Nr. 7, arba kur minėtas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arba antigeną surišantis jo fragmentas apima sunkiąją grandinę, apimančią aminorūgščių seką, nurodytą SEQ ID Nr. 8, ir lengvąją grandinę, apimančią aminorūgščių seką, nurodytą SEQ ID Nr. 7.</w:t>
      </w:r>
    </w:p>
    <w:p w14:paraId="4D084153" w14:textId="77777777" w:rsidR="00304A20" w:rsidRPr="00304A20" w:rsidRDefault="00304A20" w:rsidP="00304A20">
      <w:pPr>
        <w:spacing w:after="0" w:line="360" w:lineRule="auto"/>
        <w:jc w:val="both"/>
        <w:rPr>
          <w:rFonts w:ascii="Helvetica" w:hAnsi="Helvetica"/>
          <w:sz w:val="20"/>
          <w:lang w:val="lt-LT"/>
        </w:rPr>
      </w:pPr>
    </w:p>
    <w:p w14:paraId="50BEE6B1" w14:textId="77777777" w:rsidR="00304A20"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t xml:space="preserve">8. Nukleorūgščių molekulė arba daugybė nukleorūgščių molekulių, koduojančių </w:t>
      </w:r>
      <w:proofErr w:type="spellStart"/>
      <w:r w:rsidRPr="00304A20">
        <w:rPr>
          <w:rFonts w:ascii="Helvetica" w:hAnsi="Helvetica"/>
          <w:sz w:val="20"/>
          <w:lang w:val="lt-LT"/>
        </w:rPr>
        <w:t>monokloninį</w:t>
      </w:r>
      <w:proofErr w:type="spellEnd"/>
      <w:r w:rsidRPr="00304A20">
        <w:rPr>
          <w:rFonts w:ascii="Helvetica" w:hAnsi="Helvetica"/>
          <w:sz w:val="20"/>
          <w:lang w:val="lt-LT"/>
        </w:rPr>
        <w:t xml:space="preserve"> antikūną arba antigeną surišantį jo fragmentą pagal bet kurį iš 1 arba 3-7 punktų, arba </w:t>
      </w:r>
      <w:proofErr w:type="spellStart"/>
      <w:r w:rsidRPr="00304A20">
        <w:rPr>
          <w:rFonts w:ascii="Helvetica" w:hAnsi="Helvetica"/>
          <w:sz w:val="20"/>
          <w:lang w:val="lt-LT"/>
        </w:rPr>
        <w:t>monokloninį</w:t>
      </w:r>
      <w:proofErr w:type="spellEnd"/>
      <w:r w:rsidRPr="00304A20">
        <w:rPr>
          <w:rFonts w:ascii="Helvetica" w:hAnsi="Helvetica"/>
          <w:sz w:val="20"/>
          <w:lang w:val="lt-LT"/>
        </w:rPr>
        <w:t xml:space="preserve"> antikūną pagal 2 punktą.</w:t>
      </w:r>
    </w:p>
    <w:p w14:paraId="46A4F076" w14:textId="77777777" w:rsidR="00304A20" w:rsidRPr="00304A20" w:rsidRDefault="00304A20" w:rsidP="00304A20">
      <w:pPr>
        <w:spacing w:after="0" w:line="360" w:lineRule="auto"/>
        <w:jc w:val="both"/>
        <w:rPr>
          <w:rFonts w:ascii="Helvetica" w:hAnsi="Helvetica"/>
          <w:sz w:val="20"/>
          <w:lang w:val="lt-LT"/>
        </w:rPr>
      </w:pPr>
    </w:p>
    <w:p w14:paraId="40A9C8BE" w14:textId="77777777" w:rsidR="00304A20"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t>9. Vektorius arba daugybė vektorių, apimančių nukleorūgščių molekulę arba daugybę nukleorūgščių molekulių pagal 8 punktą.</w:t>
      </w:r>
    </w:p>
    <w:p w14:paraId="4C86EDC0" w14:textId="77777777" w:rsidR="00304A20" w:rsidRPr="00304A20" w:rsidRDefault="00304A20" w:rsidP="00304A20">
      <w:pPr>
        <w:spacing w:after="0" w:line="360" w:lineRule="auto"/>
        <w:jc w:val="both"/>
        <w:rPr>
          <w:rFonts w:ascii="Helvetica" w:hAnsi="Helvetica"/>
          <w:sz w:val="20"/>
          <w:lang w:val="lt-LT"/>
        </w:rPr>
      </w:pPr>
    </w:p>
    <w:p w14:paraId="6F5BB896" w14:textId="77777777" w:rsidR="00304A20"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lastRenderedPageBreak/>
        <w:t xml:space="preserve">10. Vektorius arba daugybė vektorių pagal 9 punktą, kur vektorius arba daugybė vektorių yra virusinis vektorius, pasirinktinai, kur virusinis vektorius yra </w:t>
      </w:r>
      <w:proofErr w:type="spellStart"/>
      <w:r w:rsidRPr="00304A20">
        <w:rPr>
          <w:rFonts w:ascii="Helvetica" w:hAnsi="Helvetica"/>
          <w:sz w:val="20"/>
          <w:lang w:val="lt-LT"/>
        </w:rPr>
        <w:t>adenovirusinis</w:t>
      </w:r>
      <w:proofErr w:type="spellEnd"/>
      <w:r w:rsidRPr="00304A20">
        <w:rPr>
          <w:rFonts w:ascii="Helvetica" w:hAnsi="Helvetica"/>
          <w:sz w:val="20"/>
          <w:lang w:val="lt-LT"/>
        </w:rPr>
        <w:t xml:space="preserve"> vektorius, </w:t>
      </w:r>
      <w:proofErr w:type="spellStart"/>
      <w:r w:rsidRPr="00304A20">
        <w:rPr>
          <w:rFonts w:ascii="Helvetica" w:hAnsi="Helvetica"/>
          <w:sz w:val="20"/>
          <w:lang w:val="lt-LT"/>
        </w:rPr>
        <w:t>lentivirusinis</w:t>
      </w:r>
      <w:proofErr w:type="spellEnd"/>
      <w:r w:rsidRPr="00304A20">
        <w:rPr>
          <w:rFonts w:ascii="Helvetica" w:hAnsi="Helvetica"/>
          <w:sz w:val="20"/>
          <w:lang w:val="lt-LT"/>
        </w:rPr>
        <w:t xml:space="preserve"> vektorius, </w:t>
      </w:r>
      <w:proofErr w:type="spellStart"/>
      <w:r w:rsidRPr="00304A20">
        <w:rPr>
          <w:rFonts w:ascii="Helvetica" w:hAnsi="Helvetica"/>
          <w:sz w:val="20"/>
          <w:lang w:val="lt-LT"/>
        </w:rPr>
        <w:t>adeno</w:t>
      </w:r>
      <w:proofErr w:type="spellEnd"/>
      <w:r w:rsidRPr="00304A20">
        <w:rPr>
          <w:rFonts w:ascii="Helvetica" w:hAnsi="Helvetica"/>
          <w:sz w:val="20"/>
          <w:lang w:val="lt-LT"/>
        </w:rPr>
        <w:t xml:space="preserve">-asocijuotas virusinis vektorius arba </w:t>
      </w:r>
      <w:proofErr w:type="spellStart"/>
      <w:r w:rsidRPr="00304A20">
        <w:rPr>
          <w:rFonts w:ascii="Helvetica" w:hAnsi="Helvetica"/>
          <w:sz w:val="20"/>
          <w:lang w:val="lt-LT"/>
        </w:rPr>
        <w:t>retrovirusinis</w:t>
      </w:r>
      <w:proofErr w:type="spellEnd"/>
      <w:r w:rsidRPr="00304A20">
        <w:rPr>
          <w:rFonts w:ascii="Helvetica" w:hAnsi="Helvetica"/>
          <w:sz w:val="20"/>
          <w:lang w:val="lt-LT"/>
        </w:rPr>
        <w:t xml:space="preserve"> vektorius.</w:t>
      </w:r>
    </w:p>
    <w:p w14:paraId="2CC54A87" w14:textId="77777777" w:rsidR="00304A20" w:rsidRPr="00304A20" w:rsidRDefault="00304A20" w:rsidP="00304A20">
      <w:pPr>
        <w:spacing w:after="0" w:line="360" w:lineRule="auto"/>
        <w:jc w:val="both"/>
        <w:rPr>
          <w:rFonts w:ascii="Helvetica" w:hAnsi="Helvetica"/>
          <w:sz w:val="20"/>
          <w:lang w:val="lt-LT"/>
        </w:rPr>
      </w:pPr>
    </w:p>
    <w:p w14:paraId="27C8F696" w14:textId="77777777" w:rsidR="00304A20"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t>11. Ląstelė-šeimininkė, apimanti:</w:t>
      </w:r>
    </w:p>
    <w:p w14:paraId="63A88E4A" w14:textId="77777777" w:rsidR="00304A20" w:rsidRPr="00304A20" w:rsidRDefault="00304A20" w:rsidP="00304A20">
      <w:pPr>
        <w:spacing w:after="0" w:line="360" w:lineRule="auto"/>
        <w:jc w:val="both"/>
        <w:rPr>
          <w:rFonts w:ascii="Helvetica" w:hAnsi="Helvetica"/>
          <w:sz w:val="20"/>
          <w:lang w:val="lt-LT"/>
        </w:rPr>
      </w:pPr>
      <w:r w:rsidRPr="00304A20">
        <w:rPr>
          <w:rFonts w:ascii="Helvetica" w:hAnsi="Helvetica"/>
          <w:sz w:val="20"/>
          <w:lang w:val="lt-LT"/>
        </w:rPr>
        <w:t>(a) nukleorūgščių molekulę arba daugybę nukleorūgščių molekulių pagal 8 punktą;</w:t>
      </w:r>
    </w:p>
    <w:p w14:paraId="546796C1" w14:textId="77777777" w:rsidR="00304A20" w:rsidRPr="00304A20" w:rsidRDefault="00304A20" w:rsidP="00304A20">
      <w:pPr>
        <w:spacing w:after="0" w:line="360" w:lineRule="auto"/>
        <w:jc w:val="both"/>
        <w:rPr>
          <w:rFonts w:ascii="Helvetica" w:hAnsi="Helvetica"/>
          <w:sz w:val="20"/>
          <w:lang w:val="lt-LT"/>
        </w:rPr>
      </w:pPr>
      <w:r w:rsidRPr="00304A20">
        <w:rPr>
          <w:rFonts w:ascii="Helvetica" w:hAnsi="Helvetica"/>
          <w:sz w:val="20"/>
          <w:lang w:val="lt-LT"/>
        </w:rPr>
        <w:t>(b) vektorių arba daugybę vektorių pagal 9 arba 10 punktą;</w:t>
      </w:r>
    </w:p>
    <w:p w14:paraId="250F5D35" w14:textId="77777777" w:rsidR="00304A20" w:rsidRPr="00304A20" w:rsidRDefault="00304A20" w:rsidP="00304A20">
      <w:pPr>
        <w:spacing w:after="0" w:line="360" w:lineRule="auto"/>
        <w:jc w:val="both"/>
        <w:rPr>
          <w:rFonts w:ascii="Helvetica" w:hAnsi="Helvetica"/>
          <w:sz w:val="20"/>
          <w:lang w:val="lt-LT"/>
        </w:rPr>
      </w:pPr>
      <w:r w:rsidRPr="00304A20">
        <w:rPr>
          <w:rFonts w:ascii="Helvetica" w:hAnsi="Helvetica"/>
          <w:sz w:val="20"/>
          <w:lang w:val="lt-LT"/>
        </w:rPr>
        <w:t xml:space="preserve">(c) pirmąją nukleorūgščių molekulę, koduojančią </w:t>
      </w:r>
      <w:proofErr w:type="spellStart"/>
      <w:r w:rsidRPr="00304A20">
        <w:rPr>
          <w:rFonts w:ascii="Helvetica" w:hAnsi="Helvetica"/>
          <w:sz w:val="20"/>
          <w:lang w:val="lt-LT"/>
        </w:rPr>
        <w:t>monokloninio</w:t>
      </w:r>
      <w:proofErr w:type="spellEnd"/>
      <w:r w:rsidRPr="00304A20">
        <w:rPr>
          <w:rFonts w:ascii="Helvetica" w:hAnsi="Helvetica"/>
          <w:sz w:val="20"/>
          <w:lang w:val="lt-LT"/>
        </w:rPr>
        <w:t xml:space="preserve"> antikūno sunkiosios grandinės kintamą sritį arba sunkiąją grandinę arba antigeną surišantį jo fragmentą pagal bet kurį iš 1 arba 3-7 punktų, arba </w:t>
      </w:r>
      <w:proofErr w:type="spellStart"/>
      <w:r w:rsidRPr="00304A20">
        <w:rPr>
          <w:rFonts w:ascii="Helvetica" w:hAnsi="Helvetica"/>
          <w:sz w:val="20"/>
          <w:lang w:val="lt-LT"/>
        </w:rPr>
        <w:t>monokloninį</w:t>
      </w:r>
      <w:proofErr w:type="spellEnd"/>
      <w:r w:rsidRPr="00304A20">
        <w:rPr>
          <w:rFonts w:ascii="Helvetica" w:hAnsi="Helvetica"/>
          <w:sz w:val="20"/>
          <w:lang w:val="lt-LT"/>
        </w:rPr>
        <w:t xml:space="preserve"> antikūną pagal 2 punktą, ir antrąją nukleorūgščių molekulę, koduojančią </w:t>
      </w:r>
      <w:proofErr w:type="spellStart"/>
      <w:r w:rsidRPr="00304A20">
        <w:rPr>
          <w:rFonts w:ascii="Helvetica" w:hAnsi="Helvetica"/>
          <w:sz w:val="20"/>
          <w:lang w:val="lt-LT"/>
        </w:rPr>
        <w:t>monokloninio</w:t>
      </w:r>
      <w:proofErr w:type="spellEnd"/>
      <w:r w:rsidRPr="00304A20">
        <w:rPr>
          <w:rFonts w:ascii="Helvetica" w:hAnsi="Helvetica"/>
          <w:sz w:val="20"/>
          <w:lang w:val="lt-LT"/>
        </w:rPr>
        <w:t xml:space="preserve"> antikūno lengvosios grandinės kintamą sritį arba lengvąją grandinę arba antigeną surišantį jo fragmentą pagal bet kurį iš 1 arba 3-7 punktų, arba </w:t>
      </w:r>
      <w:proofErr w:type="spellStart"/>
      <w:r w:rsidRPr="00304A20">
        <w:rPr>
          <w:rFonts w:ascii="Helvetica" w:hAnsi="Helvetica"/>
          <w:sz w:val="20"/>
          <w:lang w:val="lt-LT"/>
        </w:rPr>
        <w:t>monokloninį</w:t>
      </w:r>
      <w:proofErr w:type="spellEnd"/>
      <w:r w:rsidRPr="00304A20">
        <w:rPr>
          <w:rFonts w:ascii="Helvetica" w:hAnsi="Helvetica"/>
          <w:sz w:val="20"/>
          <w:lang w:val="lt-LT"/>
        </w:rPr>
        <w:t xml:space="preserve"> antikūną pagal 2 punktą;</w:t>
      </w:r>
    </w:p>
    <w:p w14:paraId="59776DBA" w14:textId="77777777" w:rsidR="00304A20" w:rsidRPr="00304A20" w:rsidRDefault="00304A20" w:rsidP="00304A20">
      <w:pPr>
        <w:spacing w:after="0" w:line="360" w:lineRule="auto"/>
        <w:jc w:val="both"/>
        <w:rPr>
          <w:rFonts w:ascii="Helvetica" w:hAnsi="Helvetica"/>
          <w:sz w:val="20"/>
          <w:lang w:val="lt-LT"/>
        </w:rPr>
      </w:pPr>
      <w:r w:rsidRPr="00304A20">
        <w:rPr>
          <w:rFonts w:ascii="Helvetica" w:hAnsi="Helvetica"/>
          <w:sz w:val="20"/>
          <w:lang w:val="lt-LT"/>
        </w:rPr>
        <w:t>arba</w:t>
      </w:r>
    </w:p>
    <w:p w14:paraId="55B9709B" w14:textId="77777777" w:rsidR="00304A20" w:rsidRPr="00304A20" w:rsidRDefault="00304A20" w:rsidP="00304A20">
      <w:pPr>
        <w:spacing w:after="0" w:line="360" w:lineRule="auto"/>
        <w:jc w:val="both"/>
        <w:rPr>
          <w:rFonts w:ascii="Helvetica" w:hAnsi="Helvetica"/>
          <w:sz w:val="20"/>
          <w:lang w:val="lt-LT"/>
        </w:rPr>
      </w:pPr>
      <w:r w:rsidRPr="00304A20">
        <w:rPr>
          <w:rFonts w:ascii="Helvetica" w:hAnsi="Helvetica"/>
          <w:sz w:val="20"/>
          <w:lang w:val="lt-LT"/>
        </w:rPr>
        <w:t xml:space="preserve">(d) pirmąjį vektorių, apimantį pirmąjį </w:t>
      </w:r>
      <w:proofErr w:type="spellStart"/>
      <w:r w:rsidRPr="00304A20">
        <w:rPr>
          <w:rFonts w:ascii="Helvetica" w:hAnsi="Helvetica"/>
          <w:sz w:val="20"/>
          <w:lang w:val="lt-LT"/>
        </w:rPr>
        <w:t>polinukleotidą</w:t>
      </w:r>
      <w:proofErr w:type="spellEnd"/>
      <w:r w:rsidRPr="00304A20">
        <w:rPr>
          <w:rFonts w:ascii="Helvetica" w:hAnsi="Helvetica"/>
          <w:sz w:val="20"/>
          <w:lang w:val="lt-LT"/>
        </w:rPr>
        <w:t xml:space="preserve">, koduojantį </w:t>
      </w:r>
      <w:proofErr w:type="spellStart"/>
      <w:r w:rsidRPr="00304A20">
        <w:rPr>
          <w:rFonts w:ascii="Helvetica" w:hAnsi="Helvetica"/>
          <w:sz w:val="20"/>
          <w:lang w:val="lt-LT"/>
        </w:rPr>
        <w:t>monokloninio</w:t>
      </w:r>
      <w:proofErr w:type="spellEnd"/>
      <w:r w:rsidRPr="00304A20">
        <w:rPr>
          <w:rFonts w:ascii="Helvetica" w:hAnsi="Helvetica"/>
          <w:sz w:val="20"/>
          <w:lang w:val="lt-LT"/>
        </w:rPr>
        <w:t xml:space="preserve"> antikūno sunkiosios grandinės kintamą sritį arba sunkiąją grandinę arba antigeną surišantį jo fragmentą pagal bet kurį iš 1 arba 3-7 punktų, arba </w:t>
      </w:r>
      <w:proofErr w:type="spellStart"/>
      <w:r w:rsidRPr="00304A20">
        <w:rPr>
          <w:rFonts w:ascii="Helvetica" w:hAnsi="Helvetica"/>
          <w:sz w:val="20"/>
          <w:lang w:val="lt-LT"/>
        </w:rPr>
        <w:t>monokloninį</w:t>
      </w:r>
      <w:proofErr w:type="spellEnd"/>
      <w:r w:rsidRPr="00304A20">
        <w:rPr>
          <w:rFonts w:ascii="Helvetica" w:hAnsi="Helvetica"/>
          <w:sz w:val="20"/>
          <w:lang w:val="lt-LT"/>
        </w:rPr>
        <w:t xml:space="preserve"> antikūną pagal 2 punktą, ir antrąjį vektorių, apimantį antrąjį </w:t>
      </w:r>
      <w:proofErr w:type="spellStart"/>
      <w:r w:rsidRPr="00304A20">
        <w:rPr>
          <w:rFonts w:ascii="Helvetica" w:hAnsi="Helvetica"/>
          <w:sz w:val="20"/>
          <w:lang w:val="lt-LT"/>
        </w:rPr>
        <w:t>polinukleotidą</w:t>
      </w:r>
      <w:proofErr w:type="spellEnd"/>
      <w:r w:rsidRPr="00304A20">
        <w:rPr>
          <w:rFonts w:ascii="Helvetica" w:hAnsi="Helvetica"/>
          <w:sz w:val="20"/>
          <w:lang w:val="lt-LT"/>
        </w:rPr>
        <w:t xml:space="preserve">, koduojantį </w:t>
      </w:r>
      <w:proofErr w:type="spellStart"/>
      <w:r w:rsidRPr="00304A20">
        <w:rPr>
          <w:rFonts w:ascii="Helvetica" w:hAnsi="Helvetica"/>
          <w:sz w:val="20"/>
          <w:lang w:val="lt-LT"/>
        </w:rPr>
        <w:t>monokloninio</w:t>
      </w:r>
      <w:proofErr w:type="spellEnd"/>
      <w:r w:rsidRPr="00304A20">
        <w:rPr>
          <w:rFonts w:ascii="Helvetica" w:hAnsi="Helvetica"/>
          <w:sz w:val="20"/>
          <w:lang w:val="lt-LT"/>
        </w:rPr>
        <w:t xml:space="preserve"> antikūno lengvosios grandinės kintamą sritį arba lengvąją grandinę arba antigeną surišantį jo fragmentą pagal bet kurį iš 1 arba 3-7 punktų, arba </w:t>
      </w:r>
      <w:proofErr w:type="spellStart"/>
      <w:r w:rsidRPr="00304A20">
        <w:rPr>
          <w:rFonts w:ascii="Helvetica" w:hAnsi="Helvetica"/>
          <w:sz w:val="20"/>
          <w:lang w:val="lt-LT"/>
        </w:rPr>
        <w:t>monokloninį</w:t>
      </w:r>
      <w:proofErr w:type="spellEnd"/>
      <w:r w:rsidRPr="00304A20">
        <w:rPr>
          <w:rFonts w:ascii="Helvetica" w:hAnsi="Helvetica"/>
          <w:sz w:val="20"/>
          <w:lang w:val="lt-LT"/>
        </w:rPr>
        <w:t xml:space="preserve"> antikūną pagal 2 punktą.</w:t>
      </w:r>
    </w:p>
    <w:p w14:paraId="4621C3B3" w14:textId="77777777" w:rsidR="00304A20" w:rsidRPr="00304A20" w:rsidRDefault="00304A20" w:rsidP="00304A20">
      <w:pPr>
        <w:spacing w:after="0" w:line="360" w:lineRule="auto"/>
        <w:jc w:val="both"/>
        <w:rPr>
          <w:rFonts w:ascii="Helvetica" w:hAnsi="Helvetica"/>
          <w:sz w:val="20"/>
          <w:lang w:val="lt-LT"/>
        </w:rPr>
      </w:pPr>
    </w:p>
    <w:p w14:paraId="185D7841" w14:textId="77777777" w:rsidR="00304A20"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t xml:space="preserve">12. Ląstelė-šeimininkė pagal 11 punktą, kur ląstelė-šeimininkė yra žinduolių ląstelė, pasirinktinai, kur ląstelė-šeimininkė yra </w:t>
      </w:r>
      <w:proofErr w:type="spellStart"/>
      <w:r w:rsidRPr="00304A20">
        <w:rPr>
          <w:rFonts w:ascii="Helvetica" w:hAnsi="Helvetica"/>
          <w:sz w:val="20"/>
          <w:lang w:val="lt-LT"/>
        </w:rPr>
        <w:t>hibridomos</w:t>
      </w:r>
      <w:proofErr w:type="spellEnd"/>
      <w:r w:rsidRPr="00304A20">
        <w:rPr>
          <w:rFonts w:ascii="Helvetica" w:hAnsi="Helvetica"/>
          <w:sz w:val="20"/>
          <w:lang w:val="lt-LT"/>
        </w:rPr>
        <w:t xml:space="preserve"> ląstelė, kininio žiurkėno kiaušidžių (CHO) ląstelė, NS0 ląstelė arba žmogaus embriono inkstų (HEK293) ląstelė.</w:t>
      </w:r>
    </w:p>
    <w:p w14:paraId="54DB215D" w14:textId="77777777" w:rsidR="00304A20" w:rsidRPr="00304A20" w:rsidRDefault="00304A20" w:rsidP="00304A20">
      <w:pPr>
        <w:spacing w:after="0" w:line="360" w:lineRule="auto"/>
        <w:jc w:val="both"/>
        <w:rPr>
          <w:rFonts w:ascii="Helvetica" w:hAnsi="Helvetica"/>
          <w:sz w:val="20"/>
          <w:lang w:val="lt-LT"/>
        </w:rPr>
      </w:pPr>
    </w:p>
    <w:p w14:paraId="759BDF1F" w14:textId="77777777" w:rsidR="00304A20"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t xml:space="preserve">13. </w:t>
      </w:r>
      <w:proofErr w:type="spellStart"/>
      <w:r w:rsidRPr="00304A20">
        <w:rPr>
          <w:rFonts w:ascii="Helvetica" w:hAnsi="Helvetica"/>
          <w:sz w:val="20"/>
          <w:lang w:val="lt-LT"/>
        </w:rPr>
        <w:t>Monokloninio</w:t>
      </w:r>
      <w:proofErr w:type="spellEnd"/>
      <w:r w:rsidRPr="00304A20">
        <w:rPr>
          <w:rFonts w:ascii="Helvetica" w:hAnsi="Helvetica"/>
          <w:sz w:val="20"/>
          <w:lang w:val="lt-LT"/>
        </w:rPr>
        <w:t xml:space="preserve"> antikūno arba antigeną surišančio jo fragmento gamybos būdas, apimantis:</w:t>
      </w:r>
    </w:p>
    <w:p w14:paraId="77CBAF81" w14:textId="77777777" w:rsidR="00304A20" w:rsidRPr="00304A20" w:rsidRDefault="00304A20" w:rsidP="00304A20">
      <w:pPr>
        <w:spacing w:after="0" w:line="360" w:lineRule="auto"/>
        <w:jc w:val="both"/>
        <w:rPr>
          <w:rFonts w:ascii="Helvetica" w:hAnsi="Helvetica"/>
          <w:sz w:val="20"/>
          <w:lang w:val="lt-LT"/>
        </w:rPr>
      </w:pPr>
      <w:r w:rsidRPr="00304A20">
        <w:rPr>
          <w:rFonts w:ascii="Helvetica" w:hAnsi="Helvetica"/>
          <w:sz w:val="20"/>
          <w:lang w:val="lt-LT"/>
        </w:rPr>
        <w:t xml:space="preserve">ląstelių-šeimininkių pagal 11 arba 12 punktą populiacijos kultivavimą sąlygomis, kurios yra tinkamos </w:t>
      </w:r>
      <w:proofErr w:type="spellStart"/>
      <w:r w:rsidRPr="00304A20">
        <w:rPr>
          <w:rFonts w:ascii="Helvetica" w:hAnsi="Helvetica"/>
          <w:sz w:val="20"/>
          <w:lang w:val="lt-LT"/>
        </w:rPr>
        <w:t>monokloninio</w:t>
      </w:r>
      <w:proofErr w:type="spellEnd"/>
      <w:r w:rsidRPr="00304A20">
        <w:rPr>
          <w:rFonts w:ascii="Helvetica" w:hAnsi="Helvetica"/>
          <w:sz w:val="20"/>
          <w:lang w:val="lt-LT"/>
        </w:rPr>
        <w:t xml:space="preserve"> antikūno arba antigeną surišančio jo fragmento raiškai; ir</w:t>
      </w:r>
    </w:p>
    <w:p w14:paraId="5C18E2D2" w14:textId="77777777" w:rsidR="00304A20" w:rsidRPr="00304A20" w:rsidRDefault="00304A20" w:rsidP="00304A20">
      <w:pPr>
        <w:spacing w:after="0" w:line="360" w:lineRule="auto"/>
        <w:jc w:val="both"/>
        <w:rPr>
          <w:rFonts w:ascii="Helvetica" w:hAnsi="Helvetica"/>
          <w:sz w:val="20"/>
          <w:lang w:val="lt-LT"/>
        </w:rPr>
      </w:pPr>
      <w:proofErr w:type="spellStart"/>
      <w:r w:rsidRPr="00304A20">
        <w:rPr>
          <w:rFonts w:ascii="Helvetica" w:hAnsi="Helvetica"/>
          <w:sz w:val="20"/>
          <w:lang w:val="lt-LT"/>
        </w:rPr>
        <w:t>monokloninio</w:t>
      </w:r>
      <w:proofErr w:type="spellEnd"/>
      <w:r w:rsidRPr="00304A20">
        <w:rPr>
          <w:rFonts w:ascii="Helvetica" w:hAnsi="Helvetica"/>
          <w:sz w:val="20"/>
          <w:lang w:val="lt-LT"/>
        </w:rPr>
        <w:t xml:space="preserve"> antikūno arba antigeną surišančio jo fragmento išskyrimą iš ląstelių.</w:t>
      </w:r>
    </w:p>
    <w:p w14:paraId="41C26EFA" w14:textId="77777777" w:rsidR="00304A20" w:rsidRPr="00304A20" w:rsidRDefault="00304A20" w:rsidP="00304A20">
      <w:pPr>
        <w:spacing w:after="0" w:line="360" w:lineRule="auto"/>
        <w:jc w:val="both"/>
        <w:rPr>
          <w:rFonts w:ascii="Helvetica" w:hAnsi="Helvetica"/>
          <w:sz w:val="20"/>
          <w:lang w:val="lt-LT"/>
        </w:rPr>
      </w:pPr>
    </w:p>
    <w:p w14:paraId="5B283ABF" w14:textId="77777777" w:rsidR="00304A20"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t xml:space="preserve">14. Farmacinė kompozicija, apimanti </w:t>
      </w:r>
      <w:proofErr w:type="spellStart"/>
      <w:r w:rsidRPr="00304A20">
        <w:rPr>
          <w:rFonts w:ascii="Helvetica" w:hAnsi="Helvetica"/>
          <w:sz w:val="20"/>
          <w:lang w:val="lt-LT"/>
        </w:rPr>
        <w:t>monokloninį</w:t>
      </w:r>
      <w:proofErr w:type="spellEnd"/>
      <w:r w:rsidRPr="00304A20">
        <w:rPr>
          <w:rFonts w:ascii="Helvetica" w:hAnsi="Helvetica"/>
          <w:sz w:val="20"/>
          <w:lang w:val="lt-LT"/>
        </w:rPr>
        <w:t xml:space="preserve"> antikūną arba antigeną surišantį jo fragmentą pagal bet kurį iš 1 arba 3-7 punktų, </w:t>
      </w:r>
      <w:proofErr w:type="spellStart"/>
      <w:r w:rsidRPr="00304A20">
        <w:rPr>
          <w:rFonts w:ascii="Helvetica" w:hAnsi="Helvetica"/>
          <w:sz w:val="20"/>
          <w:lang w:val="lt-LT"/>
        </w:rPr>
        <w:t>monokloninį</w:t>
      </w:r>
      <w:proofErr w:type="spellEnd"/>
      <w:r w:rsidRPr="00304A20">
        <w:rPr>
          <w:rFonts w:ascii="Helvetica" w:hAnsi="Helvetica"/>
          <w:sz w:val="20"/>
          <w:lang w:val="lt-LT"/>
        </w:rPr>
        <w:t xml:space="preserve"> antikūną pagal 2 punktą, nukleorūgščių molekulę arba daugybę nukleorūgščių molekulių pagal 8 punktą, vektorių arba daugybę vektorių pagal 9 arba 10 punktą arba ląstelę-šeimininkę pagal 11 arba 12 punktą ir farmaciniu požiūriu priimtiną nešiklį.</w:t>
      </w:r>
    </w:p>
    <w:p w14:paraId="316287A1" w14:textId="77777777" w:rsidR="00304A20" w:rsidRPr="00304A20" w:rsidRDefault="00304A20" w:rsidP="00304A20">
      <w:pPr>
        <w:spacing w:after="0" w:line="360" w:lineRule="auto"/>
        <w:jc w:val="both"/>
        <w:rPr>
          <w:rFonts w:ascii="Helvetica" w:hAnsi="Helvetica"/>
          <w:sz w:val="20"/>
          <w:lang w:val="lt-LT"/>
        </w:rPr>
      </w:pPr>
    </w:p>
    <w:p w14:paraId="2BFA07F4" w14:textId="77777777" w:rsidR="00304A20"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t xml:space="preserve">15.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arba antigeną surišantis jo fragmentas pagal bet kurį 1 arba 3-7 punktų arba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pagal 2 punktą arba farmacinė kompozicija pagal 14 punktą, skirti naudoti būde, skirtame slopinti </w:t>
      </w:r>
      <w:proofErr w:type="spellStart"/>
      <w:r w:rsidRPr="00304A20">
        <w:rPr>
          <w:rFonts w:ascii="Helvetica" w:hAnsi="Helvetica"/>
          <w:sz w:val="20"/>
          <w:lang w:val="lt-LT"/>
        </w:rPr>
        <w:t>komplemento</w:t>
      </w:r>
      <w:proofErr w:type="spellEnd"/>
      <w:r w:rsidRPr="00304A20">
        <w:rPr>
          <w:rFonts w:ascii="Helvetica" w:hAnsi="Helvetica"/>
          <w:sz w:val="20"/>
          <w:lang w:val="lt-LT"/>
        </w:rPr>
        <w:t xml:space="preserve"> sistemos klasikinio arba </w:t>
      </w:r>
      <w:proofErr w:type="spellStart"/>
      <w:r w:rsidRPr="00304A20">
        <w:rPr>
          <w:rFonts w:ascii="Helvetica" w:hAnsi="Helvetica"/>
          <w:sz w:val="20"/>
          <w:lang w:val="lt-LT"/>
        </w:rPr>
        <w:t>lektininio</w:t>
      </w:r>
      <w:proofErr w:type="spellEnd"/>
      <w:r w:rsidRPr="00304A20">
        <w:rPr>
          <w:rFonts w:ascii="Helvetica" w:hAnsi="Helvetica"/>
          <w:sz w:val="20"/>
          <w:lang w:val="lt-LT"/>
        </w:rPr>
        <w:t xml:space="preserve"> aktyvinimo kelią subjekte ir gydyti arba užkirsti kelią ligai ar būklei, parinktai iš eksperimentinio alerginio neurito, II tipo kolageno sukelto artrito, sunkiosios </w:t>
      </w:r>
      <w:proofErr w:type="spellStart"/>
      <w:r w:rsidRPr="00304A20">
        <w:rPr>
          <w:rFonts w:ascii="Helvetica" w:hAnsi="Helvetica"/>
          <w:sz w:val="20"/>
          <w:lang w:val="lt-LT"/>
        </w:rPr>
        <w:t>miastenijos</w:t>
      </w:r>
      <w:proofErr w:type="spellEnd"/>
      <w:r w:rsidRPr="00304A20">
        <w:rPr>
          <w:rFonts w:ascii="Helvetica" w:hAnsi="Helvetica"/>
          <w:sz w:val="20"/>
          <w:lang w:val="lt-LT"/>
        </w:rPr>
        <w:t xml:space="preserve">, hemolizinės anemijos, </w:t>
      </w:r>
      <w:proofErr w:type="spellStart"/>
      <w:r w:rsidRPr="00304A20">
        <w:rPr>
          <w:rFonts w:ascii="Helvetica" w:hAnsi="Helvetica"/>
          <w:sz w:val="20"/>
          <w:lang w:val="lt-LT"/>
        </w:rPr>
        <w:t>glomerulonefrito</w:t>
      </w:r>
      <w:proofErr w:type="spellEnd"/>
      <w:r w:rsidRPr="00304A20">
        <w:rPr>
          <w:rFonts w:ascii="Helvetica" w:hAnsi="Helvetica"/>
          <w:sz w:val="20"/>
          <w:lang w:val="lt-LT"/>
        </w:rPr>
        <w:t xml:space="preserve">, idiopatinės membraninės </w:t>
      </w:r>
      <w:proofErr w:type="spellStart"/>
      <w:r w:rsidRPr="00304A20">
        <w:rPr>
          <w:rFonts w:ascii="Helvetica" w:hAnsi="Helvetica"/>
          <w:sz w:val="20"/>
          <w:lang w:val="lt-LT"/>
        </w:rPr>
        <w:t>nefropatijos</w:t>
      </w:r>
      <w:proofErr w:type="spellEnd"/>
      <w:r w:rsidRPr="00304A20">
        <w:rPr>
          <w:rFonts w:ascii="Helvetica" w:hAnsi="Helvetica"/>
          <w:sz w:val="20"/>
          <w:lang w:val="lt-LT"/>
        </w:rPr>
        <w:t xml:space="preserve">, reumatoidinio artrito, sisteminės raudonosios vilkligės, imuninio komplekso sukelto </w:t>
      </w:r>
      <w:proofErr w:type="spellStart"/>
      <w:r w:rsidRPr="00304A20">
        <w:rPr>
          <w:rFonts w:ascii="Helvetica" w:hAnsi="Helvetica"/>
          <w:sz w:val="20"/>
          <w:lang w:val="lt-LT"/>
        </w:rPr>
        <w:t>vaskulito</w:t>
      </w:r>
      <w:proofErr w:type="spellEnd"/>
      <w:r w:rsidRPr="00304A20">
        <w:rPr>
          <w:rFonts w:ascii="Helvetica" w:hAnsi="Helvetica"/>
          <w:sz w:val="20"/>
          <w:lang w:val="lt-LT"/>
        </w:rPr>
        <w:t xml:space="preserve">, išsėtinės sklerozės, ūminio (suaugusiųjų) kvėpavimo </w:t>
      </w:r>
      <w:proofErr w:type="spellStart"/>
      <w:r w:rsidRPr="00304A20">
        <w:rPr>
          <w:rFonts w:ascii="Helvetica" w:hAnsi="Helvetica"/>
          <w:sz w:val="20"/>
          <w:lang w:val="lt-LT"/>
        </w:rPr>
        <w:t>distreso</w:t>
      </w:r>
      <w:proofErr w:type="spellEnd"/>
      <w:r w:rsidRPr="00304A20">
        <w:rPr>
          <w:rFonts w:ascii="Helvetica" w:hAnsi="Helvetica"/>
          <w:sz w:val="20"/>
          <w:lang w:val="lt-LT"/>
        </w:rPr>
        <w:t xml:space="preserve"> sindromo, insulto, </w:t>
      </w:r>
      <w:proofErr w:type="spellStart"/>
      <w:r w:rsidRPr="00304A20">
        <w:rPr>
          <w:rFonts w:ascii="Helvetica" w:hAnsi="Helvetica"/>
          <w:sz w:val="20"/>
          <w:lang w:val="lt-LT"/>
        </w:rPr>
        <w:t>ksenotransplantacijos</w:t>
      </w:r>
      <w:proofErr w:type="spellEnd"/>
      <w:r w:rsidRPr="00304A20">
        <w:rPr>
          <w:rFonts w:ascii="Helvetica" w:hAnsi="Helvetica"/>
          <w:sz w:val="20"/>
          <w:lang w:val="lt-LT"/>
        </w:rPr>
        <w:t xml:space="preserve">, </w:t>
      </w:r>
      <w:proofErr w:type="spellStart"/>
      <w:r w:rsidRPr="00304A20">
        <w:rPr>
          <w:rFonts w:ascii="Helvetica" w:hAnsi="Helvetica"/>
          <w:sz w:val="20"/>
          <w:lang w:val="lt-LT"/>
        </w:rPr>
        <w:t>alotransplantacijos</w:t>
      </w:r>
      <w:proofErr w:type="spellEnd"/>
      <w:r w:rsidRPr="00304A20">
        <w:rPr>
          <w:rFonts w:ascii="Helvetica" w:hAnsi="Helvetica"/>
          <w:sz w:val="20"/>
          <w:lang w:val="lt-LT"/>
        </w:rPr>
        <w:t xml:space="preserve">, nudegimų, sepsio, septinio šoko, toksiškumo, kurį sukelia </w:t>
      </w:r>
      <w:proofErr w:type="spellStart"/>
      <w:r w:rsidRPr="00304A20">
        <w:rPr>
          <w:rFonts w:ascii="Helvetica" w:hAnsi="Helvetica"/>
          <w:sz w:val="20"/>
          <w:lang w:val="lt-LT"/>
        </w:rPr>
        <w:t>citokinų</w:t>
      </w:r>
      <w:proofErr w:type="spellEnd"/>
      <w:r w:rsidRPr="00304A20">
        <w:rPr>
          <w:rFonts w:ascii="Helvetica" w:hAnsi="Helvetica"/>
          <w:sz w:val="20"/>
          <w:lang w:val="lt-LT"/>
        </w:rPr>
        <w:t xml:space="preserve"> arba </w:t>
      </w:r>
      <w:proofErr w:type="spellStart"/>
      <w:r w:rsidRPr="00304A20">
        <w:rPr>
          <w:rFonts w:ascii="Helvetica" w:hAnsi="Helvetica"/>
          <w:sz w:val="20"/>
          <w:lang w:val="lt-LT"/>
        </w:rPr>
        <w:t>mAb</w:t>
      </w:r>
      <w:proofErr w:type="spellEnd"/>
      <w:r w:rsidRPr="00304A20">
        <w:rPr>
          <w:rFonts w:ascii="Helvetica" w:hAnsi="Helvetica"/>
          <w:sz w:val="20"/>
          <w:lang w:val="lt-LT"/>
        </w:rPr>
        <w:t xml:space="preserve"> skyrimas </w:t>
      </w:r>
      <w:proofErr w:type="spellStart"/>
      <w:r w:rsidRPr="00304A20">
        <w:rPr>
          <w:rFonts w:ascii="Helvetica" w:hAnsi="Helvetica"/>
          <w:sz w:val="20"/>
          <w:lang w:val="lt-LT"/>
        </w:rPr>
        <w:t>in</w:t>
      </w:r>
      <w:proofErr w:type="spellEnd"/>
      <w:r w:rsidRPr="00304A20">
        <w:rPr>
          <w:rFonts w:ascii="Helvetica" w:hAnsi="Helvetica"/>
          <w:sz w:val="20"/>
          <w:lang w:val="lt-LT"/>
        </w:rPr>
        <w:t xml:space="preserve"> </w:t>
      </w:r>
      <w:proofErr w:type="spellStart"/>
      <w:r w:rsidRPr="00304A20">
        <w:rPr>
          <w:rFonts w:ascii="Helvetica" w:hAnsi="Helvetica"/>
          <w:sz w:val="20"/>
          <w:lang w:val="lt-LT"/>
        </w:rPr>
        <w:t>vivo</w:t>
      </w:r>
      <w:proofErr w:type="spellEnd"/>
      <w:r w:rsidRPr="00304A20">
        <w:rPr>
          <w:rFonts w:ascii="Helvetica" w:hAnsi="Helvetica"/>
          <w:sz w:val="20"/>
          <w:lang w:val="lt-LT"/>
        </w:rPr>
        <w:t xml:space="preserve">, antikūnų sukelto </w:t>
      </w:r>
      <w:proofErr w:type="spellStart"/>
      <w:r w:rsidRPr="00304A20">
        <w:rPr>
          <w:rFonts w:ascii="Helvetica" w:hAnsi="Helvetica"/>
          <w:sz w:val="20"/>
          <w:lang w:val="lt-LT"/>
        </w:rPr>
        <w:t>alotransplantatų</w:t>
      </w:r>
      <w:proofErr w:type="spellEnd"/>
      <w:r w:rsidRPr="00304A20">
        <w:rPr>
          <w:rFonts w:ascii="Helvetica" w:hAnsi="Helvetica"/>
          <w:sz w:val="20"/>
          <w:lang w:val="lt-LT"/>
        </w:rPr>
        <w:t xml:space="preserve">, tokių kaip inkstų </w:t>
      </w:r>
      <w:proofErr w:type="spellStart"/>
      <w:r w:rsidRPr="00304A20">
        <w:rPr>
          <w:rFonts w:ascii="Helvetica" w:hAnsi="Helvetica"/>
          <w:sz w:val="20"/>
          <w:lang w:val="lt-LT"/>
        </w:rPr>
        <w:t>alotransplantatai</w:t>
      </w:r>
      <w:proofErr w:type="spellEnd"/>
      <w:r w:rsidRPr="00304A20">
        <w:rPr>
          <w:rFonts w:ascii="Helvetica" w:hAnsi="Helvetica"/>
          <w:sz w:val="20"/>
          <w:lang w:val="lt-LT"/>
        </w:rPr>
        <w:t>, atmetimo, daugybinės traumos, išemijos-</w:t>
      </w:r>
      <w:proofErr w:type="spellStart"/>
      <w:r w:rsidRPr="00304A20">
        <w:rPr>
          <w:rFonts w:ascii="Helvetica" w:hAnsi="Helvetica"/>
          <w:sz w:val="20"/>
          <w:lang w:val="lt-LT"/>
        </w:rPr>
        <w:t>reperfuzijos</w:t>
      </w:r>
      <w:proofErr w:type="spellEnd"/>
      <w:r w:rsidRPr="00304A20">
        <w:rPr>
          <w:rFonts w:ascii="Helvetica" w:hAnsi="Helvetica"/>
          <w:sz w:val="20"/>
          <w:lang w:val="lt-LT"/>
        </w:rPr>
        <w:t xml:space="preserve"> pažeidimų ir miokardo infarkto.</w:t>
      </w:r>
    </w:p>
    <w:p w14:paraId="320FD4AA" w14:textId="77777777" w:rsidR="00304A20" w:rsidRPr="00304A20" w:rsidRDefault="00304A20" w:rsidP="00304A20">
      <w:pPr>
        <w:spacing w:after="0" w:line="360" w:lineRule="auto"/>
        <w:jc w:val="both"/>
        <w:rPr>
          <w:rFonts w:ascii="Helvetica" w:hAnsi="Helvetica"/>
          <w:sz w:val="20"/>
          <w:lang w:val="lt-LT"/>
        </w:rPr>
      </w:pPr>
    </w:p>
    <w:p w14:paraId="245E3A01" w14:textId="77777777" w:rsidR="00304A20"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lastRenderedPageBreak/>
        <w:t xml:space="preserve">16.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antigeną surišantis jo fragmentas arba farmacinė kompozicija, skirti naudoti pagal 15 punktą, kur subjektas yra žmogus.</w:t>
      </w:r>
    </w:p>
    <w:p w14:paraId="4DE3ED56" w14:textId="77777777" w:rsidR="00304A20" w:rsidRPr="00304A20" w:rsidRDefault="00304A20" w:rsidP="00304A20">
      <w:pPr>
        <w:spacing w:after="0" w:line="360" w:lineRule="auto"/>
        <w:jc w:val="both"/>
        <w:rPr>
          <w:rFonts w:ascii="Helvetica" w:hAnsi="Helvetica"/>
          <w:sz w:val="20"/>
          <w:lang w:val="lt-LT"/>
        </w:rPr>
      </w:pPr>
    </w:p>
    <w:p w14:paraId="3C14E631" w14:textId="77777777" w:rsidR="00304A20"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t xml:space="preserve">17.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antigeną surišantis jo fragmentas arba farmacinė kompozicija, skirti naudoti pagal 15 arba 16 punktą, kur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antigeną surišantis jo fragmentas arba farmacinė kompozicija yra skiriami subjektui vartoti </w:t>
      </w:r>
      <w:proofErr w:type="spellStart"/>
      <w:r w:rsidRPr="00304A20">
        <w:rPr>
          <w:rFonts w:ascii="Helvetica" w:hAnsi="Helvetica"/>
          <w:sz w:val="20"/>
          <w:lang w:val="lt-LT"/>
        </w:rPr>
        <w:t>intravenininiu</w:t>
      </w:r>
      <w:proofErr w:type="spellEnd"/>
      <w:r w:rsidRPr="00304A20">
        <w:rPr>
          <w:rFonts w:ascii="Helvetica" w:hAnsi="Helvetica"/>
          <w:sz w:val="20"/>
          <w:lang w:val="lt-LT"/>
        </w:rPr>
        <w:t xml:space="preserve"> būdu.</w:t>
      </w:r>
    </w:p>
    <w:p w14:paraId="08CFB980" w14:textId="77777777" w:rsidR="00304A20" w:rsidRPr="00304A20" w:rsidRDefault="00304A20" w:rsidP="00304A20">
      <w:pPr>
        <w:spacing w:after="0" w:line="360" w:lineRule="auto"/>
        <w:jc w:val="both"/>
        <w:rPr>
          <w:rFonts w:ascii="Helvetica" w:hAnsi="Helvetica"/>
          <w:sz w:val="20"/>
          <w:lang w:val="lt-LT"/>
        </w:rPr>
      </w:pPr>
    </w:p>
    <w:p w14:paraId="6A19A256" w14:textId="240C12DB" w:rsidR="007B24E9" w:rsidRPr="00304A20" w:rsidRDefault="00304A20" w:rsidP="00304A20">
      <w:pPr>
        <w:spacing w:after="0" w:line="360" w:lineRule="auto"/>
        <w:ind w:firstLine="567"/>
        <w:jc w:val="both"/>
        <w:rPr>
          <w:rFonts w:ascii="Helvetica" w:hAnsi="Helvetica"/>
          <w:sz w:val="20"/>
          <w:lang w:val="lt-LT"/>
        </w:rPr>
      </w:pPr>
      <w:r w:rsidRPr="00304A20">
        <w:rPr>
          <w:rFonts w:ascii="Helvetica" w:hAnsi="Helvetica"/>
          <w:sz w:val="20"/>
          <w:lang w:val="lt-LT"/>
        </w:rPr>
        <w:t xml:space="preserve">18.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antigeną surišantis jo fragmentas arba farmacinė kompozicija, skirti naudoti pagal 15 arba 16 punktą, kur </w:t>
      </w:r>
      <w:proofErr w:type="spellStart"/>
      <w:r w:rsidRPr="00304A20">
        <w:rPr>
          <w:rFonts w:ascii="Helvetica" w:hAnsi="Helvetica"/>
          <w:sz w:val="20"/>
          <w:lang w:val="lt-LT"/>
        </w:rPr>
        <w:t>monokloninis</w:t>
      </w:r>
      <w:proofErr w:type="spellEnd"/>
      <w:r w:rsidRPr="00304A20">
        <w:rPr>
          <w:rFonts w:ascii="Helvetica" w:hAnsi="Helvetica"/>
          <w:sz w:val="20"/>
          <w:lang w:val="lt-LT"/>
        </w:rPr>
        <w:t xml:space="preserve"> antikūnas, antigeną surišantis jo fragmentas arba farmacinė kompozicija yra skiriami subjektui vartoti po oda.</w:t>
      </w:r>
    </w:p>
    <w:sectPr w:rsidR="007B24E9" w:rsidRPr="00304A20" w:rsidSect="00304A20">
      <w:pgSz w:w="11906" w:h="16838"/>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4DBC0" w14:textId="77777777" w:rsidR="00304A20" w:rsidRDefault="00304A20" w:rsidP="00304A20">
      <w:pPr>
        <w:spacing w:after="0" w:line="240" w:lineRule="auto"/>
      </w:pPr>
      <w:r>
        <w:separator/>
      </w:r>
    </w:p>
  </w:endnote>
  <w:endnote w:type="continuationSeparator" w:id="0">
    <w:p w14:paraId="689A9883" w14:textId="77777777" w:rsidR="00304A20" w:rsidRDefault="00304A20" w:rsidP="00304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1C3D7" w14:textId="77777777" w:rsidR="00304A20" w:rsidRDefault="00304A20" w:rsidP="00304A20">
      <w:pPr>
        <w:spacing w:after="0" w:line="240" w:lineRule="auto"/>
      </w:pPr>
      <w:r>
        <w:separator/>
      </w:r>
    </w:p>
  </w:footnote>
  <w:footnote w:type="continuationSeparator" w:id="0">
    <w:p w14:paraId="37F17096" w14:textId="77777777" w:rsidR="00304A20" w:rsidRDefault="00304A20" w:rsidP="00304A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20"/>
    <w:rsid w:val="002F6125"/>
    <w:rsid w:val="00304A20"/>
    <w:rsid w:val="00611A1A"/>
    <w:rsid w:val="007B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DCF11"/>
  <w15:chartTrackingRefBased/>
  <w15:docId w15:val="{C9BE7945-66A6-46A4-8813-A35F8D45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4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4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4A2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4A2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4A2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4A2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4A2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4A2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4A2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4A2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4A2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4A2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4A2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4A2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4A2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4A2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4A2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4A2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4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4A2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4A2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4A2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4A2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4A20"/>
    <w:rPr>
      <w:i/>
      <w:iCs/>
      <w:color w:val="404040" w:themeColor="text1" w:themeTint="BF"/>
    </w:rPr>
  </w:style>
  <w:style w:type="paragraph" w:styleId="Sraopastraipa">
    <w:name w:val="List Paragraph"/>
    <w:basedOn w:val="prastasis"/>
    <w:uiPriority w:val="34"/>
    <w:qFormat/>
    <w:rsid w:val="00304A20"/>
    <w:pPr>
      <w:ind w:left="720"/>
      <w:contextualSpacing/>
    </w:pPr>
  </w:style>
  <w:style w:type="character" w:styleId="Rykuspabraukimas">
    <w:name w:val="Intense Emphasis"/>
    <w:basedOn w:val="Numatytasispastraiposriftas"/>
    <w:uiPriority w:val="21"/>
    <w:qFormat/>
    <w:rsid w:val="00304A20"/>
    <w:rPr>
      <w:i/>
      <w:iCs/>
      <w:color w:val="0F4761" w:themeColor="accent1" w:themeShade="BF"/>
    </w:rPr>
  </w:style>
  <w:style w:type="paragraph" w:styleId="Iskirtacitata">
    <w:name w:val="Intense Quote"/>
    <w:basedOn w:val="prastasis"/>
    <w:next w:val="prastasis"/>
    <w:link w:val="IskirtacitataDiagrama"/>
    <w:uiPriority w:val="30"/>
    <w:qFormat/>
    <w:rsid w:val="00304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4A20"/>
    <w:rPr>
      <w:i/>
      <w:iCs/>
      <w:color w:val="0F4761" w:themeColor="accent1" w:themeShade="BF"/>
    </w:rPr>
  </w:style>
  <w:style w:type="character" w:styleId="Rykinuoroda">
    <w:name w:val="Intense Reference"/>
    <w:basedOn w:val="Numatytasispastraiposriftas"/>
    <w:uiPriority w:val="32"/>
    <w:qFormat/>
    <w:rsid w:val="00304A20"/>
    <w:rPr>
      <w:b/>
      <w:bCs/>
      <w:smallCaps/>
      <w:color w:val="0F4761" w:themeColor="accent1" w:themeShade="BF"/>
      <w:spacing w:val="5"/>
    </w:rPr>
  </w:style>
  <w:style w:type="paragraph" w:styleId="Antrats">
    <w:name w:val="header"/>
    <w:basedOn w:val="prastasis"/>
    <w:link w:val="AntratsDiagrama"/>
    <w:uiPriority w:val="99"/>
    <w:unhideWhenUsed/>
    <w:rsid w:val="00304A2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04A20"/>
  </w:style>
  <w:style w:type="paragraph" w:styleId="Porat">
    <w:name w:val="footer"/>
    <w:basedOn w:val="prastasis"/>
    <w:link w:val="PoratDiagrama"/>
    <w:uiPriority w:val="99"/>
    <w:unhideWhenUsed/>
    <w:rsid w:val="00304A2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04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5909</Characters>
  <Application>Microsoft Office Word</Application>
  <DocSecurity>0</DocSecurity>
  <Lines>100</Lines>
  <Paragraphs>32</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2024-09-30T13:05:00Z</dcterms:created>
  <dcterms:modified xsi:type="dcterms:W3CDTF">2024-09-30T13:06:00Z</dcterms:modified>
</cp:coreProperties>
</file>