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228D" w14:textId="4048294F" w:rsidR="00391EFD" w:rsidRPr="006B707C" w:rsidRDefault="006B707C" w:rsidP="006B707C">
      <w:pPr>
        <w:pStyle w:val="Bodytext20"/>
        <w:widowControl/>
        <w:shd w:val="clear" w:color="auto" w:fill="auto"/>
        <w:tabs>
          <w:tab w:val="left" w:pos="368"/>
        </w:tabs>
        <w:spacing w:after="0" w:line="360" w:lineRule="auto"/>
        <w:ind w:firstLine="567"/>
        <w:jc w:val="both"/>
        <w:rPr>
          <w:rFonts w:ascii="Helvetica" w:hAnsi="Helvetica" w:cs="Helvetica"/>
          <w:sz w:val="20"/>
        </w:rPr>
      </w:pPr>
      <w:r w:rsidRPr="006B707C">
        <w:rPr>
          <w:rFonts w:ascii="Helvetica" w:hAnsi="Helvetica" w:cs="Helvetica"/>
          <w:sz w:val="20"/>
        </w:rPr>
        <w:t>1. M</w:t>
      </w:r>
      <w:r w:rsidR="00AB372E" w:rsidRPr="006B707C">
        <w:rPr>
          <w:rFonts w:ascii="Helvetica" w:hAnsi="Helvetica" w:cs="Helvetica"/>
          <w:sz w:val="20"/>
        </w:rPr>
        <w:t>aistinė oftalmologinė kompozicija, apimanti resveratrolį, geriau didesnį kiekį negu 20 mg, skirta naudoti akių ligos gydymui subjektui, gaunančiam anti-VEGF gydymą.</w:t>
      </w:r>
    </w:p>
    <w:p w14:paraId="2B658E59" w14:textId="77777777" w:rsidR="006B707C" w:rsidRPr="006B707C" w:rsidRDefault="006B707C" w:rsidP="006B707C">
      <w:pPr>
        <w:pStyle w:val="Bodytext20"/>
        <w:widowControl/>
        <w:shd w:val="clear" w:color="auto" w:fill="auto"/>
        <w:tabs>
          <w:tab w:val="left" w:pos="368"/>
        </w:tabs>
        <w:spacing w:after="0" w:line="360" w:lineRule="auto"/>
        <w:ind w:firstLine="567"/>
        <w:jc w:val="both"/>
        <w:rPr>
          <w:rFonts w:ascii="Helvetica" w:hAnsi="Helvetica" w:cs="Helvetica"/>
          <w:sz w:val="20"/>
        </w:rPr>
      </w:pPr>
    </w:p>
    <w:p w14:paraId="5CC33BBC" w14:textId="414824B6" w:rsidR="00391EFD" w:rsidRPr="006B707C" w:rsidRDefault="006B707C" w:rsidP="006B707C">
      <w:pPr>
        <w:pStyle w:val="Bodytext20"/>
        <w:widowControl/>
        <w:shd w:val="clear" w:color="auto" w:fill="auto"/>
        <w:tabs>
          <w:tab w:val="left" w:pos="373"/>
        </w:tabs>
        <w:spacing w:after="0" w:line="360" w:lineRule="auto"/>
        <w:ind w:firstLine="567"/>
        <w:jc w:val="both"/>
        <w:rPr>
          <w:rFonts w:ascii="Helvetica" w:hAnsi="Helvetica" w:cs="Helvetica"/>
          <w:sz w:val="20"/>
        </w:rPr>
      </w:pPr>
      <w:r w:rsidRPr="006B707C">
        <w:rPr>
          <w:rFonts w:ascii="Helvetica" w:hAnsi="Helvetica" w:cs="Helvetica"/>
          <w:sz w:val="20"/>
        </w:rPr>
        <w:t xml:space="preserve">2. </w:t>
      </w:r>
      <w:r w:rsidR="00AB372E" w:rsidRPr="006B707C">
        <w:rPr>
          <w:rFonts w:ascii="Helvetica" w:hAnsi="Helvetica" w:cs="Helvetica"/>
          <w:sz w:val="20"/>
        </w:rPr>
        <w:t>Kompozicija, skirta naudoti pagal 1 punktą,</w:t>
      </w:r>
      <w:r w:rsidRPr="006B707C">
        <w:rPr>
          <w:rFonts w:ascii="Helvetica" w:hAnsi="Helvetica" w:cs="Helvetica"/>
          <w:sz w:val="20"/>
        </w:rPr>
        <w:t xml:space="preserve"> b e s i s k i r i a n t i</w:t>
      </w:r>
      <w:r w:rsidR="002919AF">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kompozicija apima resveratrolio kiekį, didesnį negu 30 mg arba lygų 30 mg, geriau didesnį negu 30 mg, dar geriau didesnį negu arba lygų 50 mg.</w:t>
      </w:r>
    </w:p>
    <w:p w14:paraId="518C22B9" w14:textId="77777777" w:rsidR="006B707C" w:rsidRPr="006B707C" w:rsidRDefault="006B707C" w:rsidP="006B707C">
      <w:pPr>
        <w:pStyle w:val="Bodytext20"/>
        <w:widowControl/>
        <w:shd w:val="clear" w:color="auto" w:fill="auto"/>
        <w:tabs>
          <w:tab w:val="left" w:pos="373"/>
        </w:tabs>
        <w:spacing w:after="0" w:line="360" w:lineRule="auto"/>
        <w:ind w:firstLine="567"/>
        <w:jc w:val="both"/>
        <w:rPr>
          <w:rFonts w:ascii="Helvetica" w:hAnsi="Helvetica" w:cs="Helvetica"/>
          <w:sz w:val="20"/>
        </w:rPr>
      </w:pPr>
    </w:p>
    <w:p w14:paraId="48D78FB3" w14:textId="033CE210" w:rsidR="00391EFD" w:rsidRPr="006B707C" w:rsidRDefault="006B707C" w:rsidP="006B707C">
      <w:pPr>
        <w:pStyle w:val="Bodytext20"/>
        <w:widowControl/>
        <w:shd w:val="clear" w:color="auto" w:fill="auto"/>
        <w:tabs>
          <w:tab w:val="left" w:pos="378"/>
        </w:tabs>
        <w:spacing w:after="0" w:line="360" w:lineRule="auto"/>
        <w:ind w:firstLine="567"/>
        <w:jc w:val="both"/>
        <w:rPr>
          <w:rFonts w:ascii="Helvetica" w:hAnsi="Helvetica" w:cs="Helvetica"/>
          <w:sz w:val="20"/>
        </w:rPr>
      </w:pPr>
      <w:r w:rsidRPr="006B707C">
        <w:rPr>
          <w:rFonts w:ascii="Helvetica" w:hAnsi="Helvetica" w:cs="Helvetica"/>
          <w:sz w:val="20"/>
        </w:rPr>
        <w:t xml:space="preserve">3. </w:t>
      </w:r>
      <w:r w:rsidR="00AB372E" w:rsidRPr="006B707C">
        <w:rPr>
          <w:rFonts w:ascii="Helvetica" w:hAnsi="Helvetica" w:cs="Helvetica"/>
          <w:sz w:val="20"/>
        </w:rPr>
        <w:t>Kompozicija, skirta naudoti pagal bet kurį iš ankstesnių punktų,</w:t>
      </w:r>
      <w:r w:rsidRPr="006B707C">
        <w:rPr>
          <w:rFonts w:ascii="Helvetica" w:hAnsi="Helvetica" w:cs="Helvetica"/>
          <w:sz w:val="20"/>
        </w:rPr>
        <w:t xml:space="preserve"> b e s i s k i r i a n t i </w:t>
      </w:r>
      <w:r w:rsidR="002919AF">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kompozicija papildomai apima:</w:t>
      </w:r>
    </w:p>
    <w:p w14:paraId="10B09382" w14:textId="4492A318" w:rsidR="00391EFD" w:rsidRPr="006B707C" w:rsidRDefault="006B707C" w:rsidP="006B707C">
      <w:pPr>
        <w:pStyle w:val="Bodytext20"/>
        <w:widowControl/>
        <w:shd w:val="clear" w:color="auto" w:fill="auto"/>
        <w:spacing w:after="0" w:line="360" w:lineRule="auto"/>
        <w:jc w:val="both"/>
        <w:rPr>
          <w:rFonts w:ascii="Helvetica" w:hAnsi="Helvetica" w:cs="Helvetica"/>
          <w:sz w:val="20"/>
        </w:rPr>
      </w:pPr>
      <w:r w:rsidRPr="006B707C">
        <w:rPr>
          <w:rFonts w:ascii="Helvetica" w:hAnsi="Helvetica" w:cs="Helvetica"/>
          <w:sz w:val="20"/>
        </w:rPr>
        <w:t>●</w:t>
      </w:r>
      <w:r w:rsidR="00AB372E" w:rsidRPr="006B707C">
        <w:rPr>
          <w:rFonts w:ascii="Helvetica" w:hAnsi="Helvetica" w:cs="Helvetica"/>
          <w:sz w:val="20"/>
        </w:rPr>
        <w:t xml:space="preserve"> vitaminus, tinkamai parinktus iš grupės, susidedančios iš vitamino C ir vitamino E;</w:t>
      </w:r>
    </w:p>
    <w:p w14:paraId="61178EA8" w14:textId="4887BAA4" w:rsidR="00391EFD" w:rsidRPr="006B707C" w:rsidRDefault="006B707C" w:rsidP="006B707C">
      <w:pPr>
        <w:pStyle w:val="Bodytext20"/>
        <w:widowControl/>
        <w:shd w:val="clear" w:color="auto" w:fill="auto"/>
        <w:tabs>
          <w:tab w:val="left" w:pos="1051"/>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mikroelementus, geriau parinktus iš grupės, susidedančios iš cinko ir vario;</w:t>
      </w:r>
    </w:p>
    <w:p w14:paraId="5FC8B838" w14:textId="34EE1593" w:rsidR="00391EFD" w:rsidRPr="006B707C" w:rsidRDefault="006B707C" w:rsidP="006B707C">
      <w:pPr>
        <w:pStyle w:val="Bodytext20"/>
        <w:widowControl/>
        <w:shd w:val="clear" w:color="auto" w:fill="auto"/>
        <w:tabs>
          <w:tab w:val="left" w:pos="1051"/>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karotenoidus, geriau parinktus iš grupės, susidedančios iš zeaksantino ir liuteino;</w:t>
      </w:r>
    </w:p>
    <w:p w14:paraId="3250197B" w14:textId="081CE3E9" w:rsidR="00391EFD" w:rsidRPr="006B707C" w:rsidRDefault="006B707C" w:rsidP="006B707C">
      <w:pPr>
        <w:pStyle w:val="Bodytext20"/>
        <w:widowControl/>
        <w:shd w:val="clear" w:color="auto" w:fill="auto"/>
        <w:tabs>
          <w:tab w:val="left" w:pos="1006"/>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omega-3 riebalų rūgštis, geriau iš žuvų taukų, dar geriau parinktas iš grupės, susidedančios iš eikozapentaeno rūgšties (EPA) ir dokozaheksaeno rūgšties (DHA).</w:t>
      </w:r>
    </w:p>
    <w:p w14:paraId="576006CF" w14:textId="77777777" w:rsidR="006B707C" w:rsidRPr="006B707C" w:rsidRDefault="006B707C" w:rsidP="006B707C">
      <w:pPr>
        <w:pStyle w:val="Bodytext20"/>
        <w:widowControl/>
        <w:shd w:val="clear" w:color="auto" w:fill="auto"/>
        <w:tabs>
          <w:tab w:val="left" w:pos="1006"/>
        </w:tabs>
        <w:spacing w:after="0" w:line="360" w:lineRule="auto"/>
        <w:jc w:val="both"/>
        <w:rPr>
          <w:rFonts w:ascii="Helvetica" w:hAnsi="Helvetica" w:cs="Helvetica"/>
          <w:sz w:val="20"/>
        </w:rPr>
      </w:pPr>
    </w:p>
    <w:p w14:paraId="45EE550E" w14:textId="01B8B8F1" w:rsidR="00391EFD" w:rsidRPr="006B707C" w:rsidRDefault="006B707C" w:rsidP="006B707C">
      <w:pPr>
        <w:pStyle w:val="Bodytext20"/>
        <w:widowControl/>
        <w:shd w:val="clear" w:color="auto" w:fill="auto"/>
        <w:tabs>
          <w:tab w:val="left" w:pos="373"/>
        </w:tabs>
        <w:spacing w:after="0" w:line="360" w:lineRule="auto"/>
        <w:ind w:firstLine="567"/>
        <w:jc w:val="both"/>
        <w:rPr>
          <w:rFonts w:ascii="Helvetica" w:hAnsi="Helvetica" w:cs="Helvetica"/>
          <w:sz w:val="20"/>
        </w:rPr>
      </w:pPr>
      <w:r w:rsidRPr="006B707C">
        <w:rPr>
          <w:rFonts w:ascii="Helvetica" w:hAnsi="Helvetica" w:cs="Helvetica"/>
          <w:sz w:val="20"/>
        </w:rPr>
        <w:t xml:space="preserve">4. </w:t>
      </w:r>
      <w:r w:rsidR="00AB372E" w:rsidRPr="006B707C">
        <w:rPr>
          <w:rFonts w:ascii="Helvetica" w:hAnsi="Helvetica" w:cs="Helvetica"/>
          <w:sz w:val="20"/>
        </w:rPr>
        <w:t>Kompozicija, skirta naudoti pagal bet kurį iš ankstesnių punktų,</w:t>
      </w:r>
      <w:r w:rsidRPr="006B707C">
        <w:rPr>
          <w:rFonts w:ascii="Helvetica" w:hAnsi="Helvetica" w:cs="Helvetica"/>
          <w:sz w:val="20"/>
        </w:rPr>
        <w:t xml:space="preserve"> b e s i s k i r i a n t i </w:t>
      </w:r>
      <w:r w:rsidR="002919AF">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kompozicija apima:</w:t>
      </w:r>
    </w:p>
    <w:p w14:paraId="6341DDF7" w14:textId="603023E4" w:rsidR="00391EFD" w:rsidRPr="006B707C" w:rsidRDefault="006B707C" w:rsidP="006B707C">
      <w:pPr>
        <w:pStyle w:val="Bodytext20"/>
        <w:widowControl/>
        <w:shd w:val="clear" w:color="auto" w:fill="auto"/>
        <w:tabs>
          <w:tab w:val="left" w:pos="1051"/>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vitamino C, geriau nuo 50 mg iki 500 mg, dar geriau 120 mg;</w:t>
      </w:r>
    </w:p>
    <w:p w14:paraId="70ED2B70" w14:textId="48EB4D6D" w:rsidR="00391EFD" w:rsidRPr="006B707C" w:rsidRDefault="006B707C" w:rsidP="006B707C">
      <w:pPr>
        <w:pStyle w:val="Bodytext20"/>
        <w:widowControl/>
        <w:shd w:val="clear" w:color="auto" w:fill="auto"/>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vitamino E, geriau nuo 10 mg iki 500 mg, dar geriau 30 mg;</w:t>
      </w:r>
    </w:p>
    <w:p w14:paraId="3650827A" w14:textId="3344B9A4" w:rsidR="00391EFD" w:rsidRPr="006B707C" w:rsidRDefault="006B707C" w:rsidP="006B707C">
      <w:pPr>
        <w:pStyle w:val="Bodytext20"/>
        <w:widowControl/>
        <w:shd w:val="clear" w:color="auto" w:fill="auto"/>
        <w:tabs>
          <w:tab w:val="left" w:pos="1069"/>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cinko, geriau nuo 5 mg iki 100 mg, dar geriau 12,5 mg;</w:t>
      </w:r>
    </w:p>
    <w:p w14:paraId="49AA4980" w14:textId="068B214B" w:rsidR="00391EFD" w:rsidRPr="006B707C" w:rsidRDefault="006B707C" w:rsidP="006B707C">
      <w:pPr>
        <w:pStyle w:val="Bodytext20"/>
        <w:widowControl/>
        <w:shd w:val="clear" w:color="auto" w:fill="auto"/>
        <w:tabs>
          <w:tab w:val="left" w:pos="1069"/>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vario, geriau nuo 0,2 mg iki 10 mg, dar geriau 1 mg;</w:t>
      </w:r>
    </w:p>
    <w:p w14:paraId="24D2A2C5" w14:textId="7AFA9988" w:rsidR="00391EFD" w:rsidRPr="006B707C" w:rsidRDefault="006B707C" w:rsidP="006B707C">
      <w:pPr>
        <w:pStyle w:val="Bodytext20"/>
        <w:widowControl/>
        <w:shd w:val="clear" w:color="auto" w:fill="auto"/>
        <w:tabs>
          <w:tab w:val="left" w:pos="1069"/>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liuteino, geriau nuo 2 mg iki 50 mg, dar geriau 20 mg;</w:t>
      </w:r>
    </w:p>
    <w:p w14:paraId="3FBB2F4A" w14:textId="1FE67883" w:rsidR="00391EFD" w:rsidRPr="006B707C" w:rsidRDefault="006B707C" w:rsidP="006B707C">
      <w:pPr>
        <w:pStyle w:val="Bodytext20"/>
        <w:widowControl/>
        <w:shd w:val="clear" w:color="auto" w:fill="auto"/>
        <w:tabs>
          <w:tab w:val="left" w:pos="1069"/>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zeaksantino, geriau nuo 0,5 mg iki 10 mg, dar geriau 4 mg;</w:t>
      </w:r>
    </w:p>
    <w:p w14:paraId="0B120DEA" w14:textId="19F210A3" w:rsidR="00391EFD" w:rsidRPr="006B707C" w:rsidRDefault="006B707C" w:rsidP="006B707C">
      <w:pPr>
        <w:pStyle w:val="Bodytext20"/>
        <w:widowControl/>
        <w:shd w:val="clear" w:color="auto" w:fill="auto"/>
        <w:tabs>
          <w:tab w:val="left" w:pos="1014"/>
        </w:tabs>
        <w:spacing w:after="0" w:line="360" w:lineRule="auto"/>
        <w:jc w:val="both"/>
        <w:rPr>
          <w:rFonts w:ascii="Helvetica" w:hAnsi="Helvetica" w:cs="Helvetica"/>
          <w:sz w:val="20"/>
        </w:rPr>
      </w:pPr>
      <w:r w:rsidRPr="006B707C">
        <w:rPr>
          <w:rFonts w:ascii="Helvetica" w:hAnsi="Helvetica" w:cs="Helvetica"/>
          <w:sz w:val="20"/>
        </w:rPr>
        <w:t xml:space="preserve">● </w:t>
      </w:r>
      <w:r w:rsidR="00AB372E" w:rsidRPr="006B707C">
        <w:rPr>
          <w:rFonts w:ascii="Helvetica" w:hAnsi="Helvetica" w:cs="Helvetica"/>
          <w:sz w:val="20"/>
        </w:rPr>
        <w:t>omega-3 riebalų rūgščių iš žuvų taukų, geriau nuo 100 mg iki 1000 mg, dar geriau nuo 800 mg iki 1000 mg.</w:t>
      </w:r>
    </w:p>
    <w:p w14:paraId="76750418" w14:textId="77777777" w:rsidR="006B707C" w:rsidRPr="006B707C" w:rsidRDefault="006B707C" w:rsidP="006B707C">
      <w:pPr>
        <w:pStyle w:val="Bodytext20"/>
        <w:widowControl/>
        <w:shd w:val="clear" w:color="auto" w:fill="auto"/>
        <w:tabs>
          <w:tab w:val="left" w:pos="1014"/>
        </w:tabs>
        <w:spacing w:after="0" w:line="360" w:lineRule="auto"/>
        <w:jc w:val="both"/>
        <w:rPr>
          <w:rFonts w:ascii="Helvetica" w:hAnsi="Helvetica" w:cs="Helvetica"/>
          <w:sz w:val="20"/>
        </w:rPr>
      </w:pPr>
    </w:p>
    <w:p w14:paraId="4EAC904A" w14:textId="799E7EA9" w:rsidR="00391EFD" w:rsidRPr="006B707C" w:rsidRDefault="006B707C" w:rsidP="006B707C">
      <w:pPr>
        <w:pStyle w:val="Bodytext20"/>
        <w:widowControl/>
        <w:shd w:val="clear" w:color="auto" w:fill="auto"/>
        <w:tabs>
          <w:tab w:val="left" w:pos="370"/>
        </w:tabs>
        <w:spacing w:after="0" w:line="360" w:lineRule="auto"/>
        <w:ind w:firstLine="567"/>
        <w:jc w:val="both"/>
        <w:rPr>
          <w:rFonts w:ascii="Helvetica" w:hAnsi="Helvetica" w:cs="Helvetica"/>
          <w:sz w:val="20"/>
        </w:rPr>
      </w:pPr>
      <w:r w:rsidRPr="006B707C">
        <w:rPr>
          <w:rFonts w:ascii="Helvetica" w:hAnsi="Helvetica" w:cs="Helvetica"/>
          <w:sz w:val="20"/>
        </w:rPr>
        <w:t xml:space="preserve">5. </w:t>
      </w:r>
      <w:r w:rsidR="00AB372E" w:rsidRPr="006B707C">
        <w:rPr>
          <w:rFonts w:ascii="Helvetica" w:hAnsi="Helvetica" w:cs="Helvetica"/>
          <w:sz w:val="20"/>
        </w:rPr>
        <w:t>Kompozicija, skirta naudoti pagal bet kurį iš ankstesnių punktų,</w:t>
      </w:r>
      <w:r w:rsidRPr="006B707C">
        <w:rPr>
          <w:rFonts w:ascii="Helvetica" w:hAnsi="Helvetica" w:cs="Helvetica"/>
          <w:sz w:val="20"/>
        </w:rPr>
        <w:t xml:space="preserve"> b e s i s k i r i a n t i </w:t>
      </w:r>
      <w:r w:rsidR="002919AF">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kompozicija skiriama vartoti per burną.</w:t>
      </w:r>
    </w:p>
    <w:p w14:paraId="47A4569A" w14:textId="77777777" w:rsidR="006B707C" w:rsidRPr="006B707C" w:rsidRDefault="006B707C" w:rsidP="006B707C">
      <w:pPr>
        <w:pStyle w:val="Bodytext20"/>
        <w:widowControl/>
        <w:shd w:val="clear" w:color="auto" w:fill="auto"/>
        <w:tabs>
          <w:tab w:val="left" w:pos="370"/>
        </w:tabs>
        <w:spacing w:after="0" w:line="360" w:lineRule="auto"/>
        <w:ind w:firstLine="567"/>
        <w:jc w:val="both"/>
        <w:rPr>
          <w:rFonts w:ascii="Helvetica" w:hAnsi="Helvetica" w:cs="Helvetica"/>
          <w:sz w:val="20"/>
        </w:rPr>
      </w:pPr>
    </w:p>
    <w:p w14:paraId="4D284F42" w14:textId="090AE34A" w:rsidR="00391EFD" w:rsidRPr="006B707C" w:rsidRDefault="006B707C" w:rsidP="006B707C">
      <w:pPr>
        <w:pStyle w:val="Bodytext20"/>
        <w:widowControl/>
        <w:shd w:val="clear" w:color="auto" w:fill="auto"/>
        <w:tabs>
          <w:tab w:val="left" w:pos="370"/>
        </w:tabs>
        <w:spacing w:after="0" w:line="360" w:lineRule="auto"/>
        <w:ind w:firstLine="567"/>
        <w:jc w:val="both"/>
        <w:rPr>
          <w:rFonts w:ascii="Helvetica" w:hAnsi="Helvetica" w:cs="Helvetica"/>
          <w:sz w:val="20"/>
        </w:rPr>
      </w:pPr>
      <w:r w:rsidRPr="006B707C">
        <w:rPr>
          <w:rFonts w:ascii="Helvetica" w:hAnsi="Helvetica" w:cs="Helvetica"/>
          <w:sz w:val="20"/>
        </w:rPr>
        <w:t xml:space="preserve">6. </w:t>
      </w:r>
      <w:r w:rsidR="00AB372E" w:rsidRPr="006B707C">
        <w:rPr>
          <w:rFonts w:ascii="Helvetica" w:hAnsi="Helvetica" w:cs="Helvetica"/>
          <w:sz w:val="20"/>
        </w:rPr>
        <w:t>Kompozicija, skirta naudoti pagal bet kurį iš ankstesnių punktų,</w:t>
      </w:r>
      <w:r w:rsidRPr="006B707C">
        <w:rPr>
          <w:rFonts w:ascii="Helvetica" w:hAnsi="Helvetica" w:cs="Helvetica"/>
          <w:sz w:val="20"/>
        </w:rPr>
        <w:t xml:space="preserve"> b e s i s k i r i a n t i </w:t>
      </w:r>
      <w:r w:rsidR="002919AF">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kompozicija yra vartojama kasdien.</w:t>
      </w:r>
    </w:p>
    <w:p w14:paraId="0C446BAB" w14:textId="77777777" w:rsidR="006B707C" w:rsidRPr="006B707C" w:rsidRDefault="006B707C" w:rsidP="006B707C">
      <w:pPr>
        <w:pStyle w:val="Bodytext20"/>
        <w:widowControl/>
        <w:shd w:val="clear" w:color="auto" w:fill="auto"/>
        <w:tabs>
          <w:tab w:val="left" w:pos="370"/>
        </w:tabs>
        <w:spacing w:after="0" w:line="360" w:lineRule="auto"/>
        <w:ind w:firstLine="567"/>
        <w:jc w:val="both"/>
        <w:rPr>
          <w:rFonts w:ascii="Helvetica" w:hAnsi="Helvetica" w:cs="Helvetica"/>
          <w:sz w:val="20"/>
        </w:rPr>
      </w:pPr>
    </w:p>
    <w:p w14:paraId="1E7571CB" w14:textId="01550515" w:rsidR="00391EFD" w:rsidRPr="006B707C" w:rsidRDefault="006B707C" w:rsidP="006B707C">
      <w:pPr>
        <w:pStyle w:val="Bodytext20"/>
        <w:widowControl/>
        <w:shd w:val="clear" w:color="auto" w:fill="auto"/>
        <w:tabs>
          <w:tab w:val="left" w:pos="370"/>
        </w:tabs>
        <w:spacing w:after="0" w:line="360" w:lineRule="auto"/>
        <w:ind w:firstLine="567"/>
        <w:jc w:val="both"/>
        <w:rPr>
          <w:rFonts w:ascii="Helvetica" w:hAnsi="Helvetica" w:cs="Helvetica"/>
          <w:sz w:val="20"/>
        </w:rPr>
      </w:pPr>
      <w:r w:rsidRPr="006B707C">
        <w:rPr>
          <w:rFonts w:ascii="Helvetica" w:hAnsi="Helvetica" w:cs="Helvetica"/>
          <w:sz w:val="20"/>
        </w:rPr>
        <w:t xml:space="preserve">7. </w:t>
      </w:r>
      <w:r w:rsidR="00AB372E" w:rsidRPr="006B707C">
        <w:rPr>
          <w:rFonts w:ascii="Helvetica" w:hAnsi="Helvetica" w:cs="Helvetica"/>
          <w:sz w:val="20"/>
        </w:rPr>
        <w:t>Kompozicija, skirta naudoti pagal bet kurį iš ankstesnių punktų,</w:t>
      </w:r>
      <w:r w:rsidRPr="006B707C">
        <w:rPr>
          <w:rFonts w:ascii="Helvetica" w:hAnsi="Helvetica" w:cs="Helvetica"/>
          <w:sz w:val="20"/>
        </w:rPr>
        <w:t xml:space="preserve"> b e s i s k i r i a n t i </w:t>
      </w:r>
      <w:r w:rsidR="002919AF">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gydymas anti-VEGF atitinka VEGF signalinio kelio inhibitoriaus skyrimą, geriau parinkto iš toliau pateiktos grupės: antikūno, antikūno fragmento, rekombinantinio baltymo, sulieto baltymo ir jų mišinių.</w:t>
      </w:r>
    </w:p>
    <w:p w14:paraId="23D39557" w14:textId="77777777" w:rsidR="006B707C" w:rsidRPr="006B707C" w:rsidRDefault="006B707C" w:rsidP="006B707C">
      <w:pPr>
        <w:pStyle w:val="Bodytext20"/>
        <w:widowControl/>
        <w:shd w:val="clear" w:color="auto" w:fill="auto"/>
        <w:tabs>
          <w:tab w:val="left" w:pos="370"/>
        </w:tabs>
        <w:spacing w:after="0" w:line="360" w:lineRule="auto"/>
        <w:ind w:firstLine="567"/>
        <w:jc w:val="both"/>
        <w:rPr>
          <w:rFonts w:ascii="Helvetica" w:hAnsi="Helvetica" w:cs="Helvetica"/>
          <w:sz w:val="20"/>
        </w:rPr>
      </w:pPr>
    </w:p>
    <w:p w14:paraId="1A9B31EB" w14:textId="550D7271" w:rsidR="00391EFD" w:rsidRPr="006B707C" w:rsidRDefault="006B707C" w:rsidP="006B707C">
      <w:pPr>
        <w:pStyle w:val="Bodytext20"/>
        <w:widowControl/>
        <w:shd w:val="clear" w:color="auto" w:fill="auto"/>
        <w:tabs>
          <w:tab w:val="left" w:pos="399"/>
        </w:tabs>
        <w:spacing w:after="0" w:line="360" w:lineRule="auto"/>
        <w:ind w:firstLine="567"/>
        <w:jc w:val="both"/>
        <w:rPr>
          <w:rFonts w:ascii="Helvetica" w:hAnsi="Helvetica" w:cs="Helvetica"/>
          <w:sz w:val="20"/>
        </w:rPr>
      </w:pPr>
      <w:r w:rsidRPr="006B707C">
        <w:rPr>
          <w:rFonts w:ascii="Helvetica" w:hAnsi="Helvetica" w:cs="Helvetica"/>
          <w:sz w:val="20"/>
        </w:rPr>
        <w:t xml:space="preserve">8. </w:t>
      </w:r>
      <w:r w:rsidR="00AB372E" w:rsidRPr="006B707C">
        <w:rPr>
          <w:rFonts w:ascii="Helvetica" w:hAnsi="Helvetica" w:cs="Helvetica"/>
          <w:sz w:val="20"/>
        </w:rPr>
        <w:t>Kompozicija, skirta naudoti pagal bet kurį iš ankstesnių punktų,</w:t>
      </w:r>
      <w:r w:rsidRPr="006B707C">
        <w:rPr>
          <w:rFonts w:ascii="Helvetica" w:hAnsi="Helvetica" w:cs="Helvetica"/>
          <w:sz w:val="20"/>
        </w:rPr>
        <w:t xml:space="preserve"> b e s i s k i r i a n t i </w:t>
      </w:r>
      <w:r w:rsidR="00655B46">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inhibitorius yra parinktas iš toliau pateiktos grupės: ranibizumabo, bevacizumabo, aflibercepto, abiciparo pegolio, konbercepto, faricimabo, brolucizumabo ir jų mišinių</w:t>
      </w:r>
      <w:r w:rsidR="00483B3C">
        <w:rPr>
          <w:rFonts w:ascii="Helvetica" w:hAnsi="Helvetica" w:cs="Helvetica"/>
          <w:sz w:val="20"/>
        </w:rPr>
        <w:t>.</w:t>
      </w:r>
    </w:p>
    <w:p w14:paraId="4927FFD0" w14:textId="77777777" w:rsidR="006B707C" w:rsidRPr="006B707C" w:rsidRDefault="006B707C" w:rsidP="006B707C">
      <w:pPr>
        <w:pStyle w:val="Bodytext20"/>
        <w:widowControl/>
        <w:shd w:val="clear" w:color="auto" w:fill="auto"/>
        <w:tabs>
          <w:tab w:val="left" w:pos="399"/>
        </w:tabs>
        <w:spacing w:after="0" w:line="360" w:lineRule="auto"/>
        <w:ind w:firstLine="567"/>
        <w:jc w:val="both"/>
        <w:rPr>
          <w:rFonts w:ascii="Helvetica" w:hAnsi="Helvetica" w:cs="Helvetica"/>
          <w:sz w:val="20"/>
        </w:rPr>
      </w:pPr>
    </w:p>
    <w:p w14:paraId="4ED6CE8D" w14:textId="084C3313" w:rsidR="00391EFD" w:rsidRPr="006B707C" w:rsidRDefault="006B707C" w:rsidP="006B707C">
      <w:pPr>
        <w:pStyle w:val="Bodytext20"/>
        <w:widowControl/>
        <w:shd w:val="clear" w:color="auto" w:fill="auto"/>
        <w:tabs>
          <w:tab w:val="left" w:pos="370"/>
        </w:tabs>
        <w:spacing w:after="0" w:line="360" w:lineRule="auto"/>
        <w:ind w:firstLine="567"/>
        <w:jc w:val="both"/>
        <w:rPr>
          <w:rFonts w:ascii="Helvetica" w:hAnsi="Helvetica" w:cs="Helvetica"/>
          <w:sz w:val="20"/>
        </w:rPr>
      </w:pPr>
      <w:r w:rsidRPr="006B707C">
        <w:rPr>
          <w:rFonts w:ascii="Helvetica" w:hAnsi="Helvetica" w:cs="Helvetica"/>
          <w:sz w:val="20"/>
        </w:rPr>
        <w:t xml:space="preserve">9. </w:t>
      </w:r>
      <w:r w:rsidR="00AB372E" w:rsidRPr="006B707C">
        <w:rPr>
          <w:rFonts w:ascii="Helvetica" w:hAnsi="Helvetica" w:cs="Helvetica"/>
          <w:sz w:val="20"/>
        </w:rPr>
        <w:t>Kompozicija, skirta naudoti pagal bet kurį iš ankstesnių punktų,</w:t>
      </w:r>
      <w:r w:rsidRPr="006B707C">
        <w:rPr>
          <w:rFonts w:ascii="Helvetica" w:hAnsi="Helvetica" w:cs="Helvetica"/>
          <w:sz w:val="20"/>
        </w:rPr>
        <w:t xml:space="preserve"> b e s i s k i r i a n t i </w:t>
      </w:r>
      <w:r w:rsidR="00655B46">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gydymas anti-VEGF yra skiriamas injekcija į stiklakūnį arba lokaliai.</w:t>
      </w:r>
    </w:p>
    <w:p w14:paraId="3E5C683E" w14:textId="77777777" w:rsidR="006B707C" w:rsidRPr="006B707C" w:rsidRDefault="006B707C" w:rsidP="006B707C">
      <w:pPr>
        <w:pStyle w:val="Bodytext20"/>
        <w:widowControl/>
        <w:shd w:val="clear" w:color="auto" w:fill="auto"/>
        <w:tabs>
          <w:tab w:val="left" w:pos="370"/>
        </w:tabs>
        <w:spacing w:after="0" w:line="360" w:lineRule="auto"/>
        <w:ind w:firstLine="567"/>
        <w:jc w:val="both"/>
        <w:rPr>
          <w:rFonts w:ascii="Helvetica" w:hAnsi="Helvetica" w:cs="Helvetica"/>
          <w:sz w:val="20"/>
        </w:rPr>
      </w:pPr>
    </w:p>
    <w:p w14:paraId="79979EA9" w14:textId="4E87DDCA" w:rsidR="00391EFD" w:rsidRPr="006B707C" w:rsidRDefault="006B707C" w:rsidP="00AB372E">
      <w:pPr>
        <w:pStyle w:val="Bodytext20"/>
        <w:widowControl/>
        <w:shd w:val="clear" w:color="auto" w:fill="auto"/>
        <w:tabs>
          <w:tab w:val="left" w:pos="624"/>
          <w:tab w:val="left" w:pos="8530"/>
        </w:tabs>
        <w:spacing w:after="0" w:line="360" w:lineRule="auto"/>
        <w:ind w:firstLine="567"/>
        <w:jc w:val="both"/>
        <w:rPr>
          <w:rFonts w:ascii="Helvetica" w:hAnsi="Helvetica" w:cs="Helvetica"/>
          <w:sz w:val="20"/>
        </w:rPr>
      </w:pPr>
      <w:r w:rsidRPr="006B707C">
        <w:rPr>
          <w:rFonts w:ascii="Helvetica" w:hAnsi="Helvetica" w:cs="Helvetica"/>
          <w:sz w:val="20"/>
        </w:rPr>
        <w:lastRenderedPageBreak/>
        <w:t xml:space="preserve">10. </w:t>
      </w:r>
      <w:r w:rsidR="00AB372E" w:rsidRPr="006B707C">
        <w:rPr>
          <w:rFonts w:ascii="Helvetica" w:hAnsi="Helvetica" w:cs="Helvetica"/>
          <w:sz w:val="20"/>
        </w:rPr>
        <w:t>Kompozicija, skirta naudoti pagal bet kurį iš ankstesnių</w:t>
      </w:r>
      <w:r w:rsidRPr="006B707C">
        <w:rPr>
          <w:rFonts w:ascii="Helvetica" w:hAnsi="Helvetica" w:cs="Helvetica"/>
          <w:sz w:val="20"/>
        </w:rPr>
        <w:t xml:space="preserve"> </w:t>
      </w:r>
      <w:r w:rsidR="00AB372E" w:rsidRPr="006B707C">
        <w:rPr>
          <w:rFonts w:ascii="Helvetica" w:hAnsi="Helvetica" w:cs="Helvetica"/>
          <w:sz w:val="20"/>
        </w:rPr>
        <w:t>punktų,</w:t>
      </w:r>
      <w:r w:rsidR="00AB372E">
        <w:rPr>
          <w:rStyle w:val="Bodytext2Spacing3pt"/>
          <w:rFonts w:ascii="Helvetica" w:hAnsi="Helvetica" w:cs="Helvetica"/>
          <w:spacing w:val="0"/>
          <w:sz w:val="20"/>
        </w:rPr>
        <w:t xml:space="preserve">b </w:t>
      </w:r>
      <w:r w:rsidRPr="00AB372E">
        <w:rPr>
          <w:rStyle w:val="Bodytext2Spacing3pt"/>
          <w:rFonts w:ascii="Helvetica" w:hAnsi="Helvetica" w:cs="Helvetica"/>
          <w:spacing w:val="0"/>
          <w:sz w:val="20"/>
        </w:rPr>
        <w:t>e</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s</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i</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s</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k</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i</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r</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i</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a</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n</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t</w:t>
      </w:r>
      <w:r w:rsidR="00AB372E">
        <w:rPr>
          <w:rStyle w:val="Bodytext2Spacing3pt"/>
          <w:rFonts w:ascii="Helvetica" w:hAnsi="Helvetica" w:cs="Helvetica"/>
          <w:spacing w:val="0"/>
          <w:sz w:val="20"/>
        </w:rPr>
        <w:t xml:space="preserve"> </w:t>
      </w:r>
      <w:r w:rsidRPr="00AB372E">
        <w:rPr>
          <w:rStyle w:val="Bodytext2Spacing3pt"/>
          <w:rFonts w:ascii="Helvetica" w:hAnsi="Helvetica" w:cs="Helvetica"/>
          <w:spacing w:val="0"/>
          <w:sz w:val="20"/>
        </w:rPr>
        <w:t>i</w:t>
      </w:r>
      <w:r w:rsidR="009E4A72">
        <w:rPr>
          <w:rStyle w:val="Bodytext2Spacing3pt"/>
          <w:rFonts w:ascii="Helvetica" w:hAnsi="Helvetica" w:cs="Helvetica"/>
          <w:spacing w:val="0"/>
          <w:sz w:val="20"/>
        </w:rPr>
        <w:t xml:space="preserve">  t uo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akių liga yra parinkta iš grupės, susidedančios iš su amžiumi susijusios geltonosios dėmės degeneracijos, diabetinės geltonosios</w:t>
      </w:r>
      <w:r w:rsidR="00AB372E">
        <w:rPr>
          <w:rFonts w:ascii="Helvetica" w:hAnsi="Helvetica" w:cs="Helvetica"/>
          <w:sz w:val="20"/>
        </w:rPr>
        <w:t xml:space="preserve"> </w:t>
      </w:r>
      <w:r w:rsidR="00AB372E" w:rsidRPr="006B707C">
        <w:rPr>
          <w:rFonts w:ascii="Helvetica" w:hAnsi="Helvetica" w:cs="Helvetica"/>
          <w:sz w:val="20"/>
        </w:rPr>
        <w:t>dėmės</w:t>
      </w:r>
      <w:r w:rsidR="00AB372E">
        <w:rPr>
          <w:rFonts w:ascii="Helvetica" w:hAnsi="Helvetica" w:cs="Helvetica"/>
          <w:sz w:val="20"/>
        </w:rPr>
        <w:t xml:space="preserve"> </w:t>
      </w:r>
      <w:r w:rsidR="00AB372E" w:rsidRPr="006B707C">
        <w:rPr>
          <w:rFonts w:ascii="Helvetica" w:hAnsi="Helvetica" w:cs="Helvetica"/>
          <w:sz w:val="20"/>
        </w:rPr>
        <w:t>edemos, tinklainės venų okliuzijos, trumparegio gyslainės neovaskuliarizacijos, neovaskulinės glaukomos ir proliferacinės diabetinės retinopatijos.</w:t>
      </w:r>
    </w:p>
    <w:p w14:paraId="011E911E" w14:textId="77777777" w:rsidR="006B707C" w:rsidRPr="006B707C" w:rsidRDefault="006B707C" w:rsidP="006B707C">
      <w:pPr>
        <w:pStyle w:val="Bodytext20"/>
        <w:widowControl/>
        <w:shd w:val="clear" w:color="auto" w:fill="auto"/>
        <w:spacing w:after="0" w:line="360" w:lineRule="auto"/>
        <w:jc w:val="both"/>
        <w:rPr>
          <w:rFonts w:ascii="Helvetica" w:hAnsi="Helvetica" w:cs="Helvetica"/>
          <w:sz w:val="20"/>
        </w:rPr>
      </w:pPr>
    </w:p>
    <w:p w14:paraId="48AEB58D" w14:textId="0CB1EBAA" w:rsidR="00391EFD" w:rsidRPr="006B707C" w:rsidRDefault="006B707C" w:rsidP="006B707C">
      <w:pPr>
        <w:pStyle w:val="Bodytext20"/>
        <w:widowControl/>
        <w:shd w:val="clear" w:color="auto" w:fill="auto"/>
        <w:tabs>
          <w:tab w:val="left" w:pos="458"/>
        </w:tabs>
        <w:spacing w:after="0" w:line="360" w:lineRule="auto"/>
        <w:ind w:firstLine="567"/>
        <w:jc w:val="both"/>
        <w:rPr>
          <w:rFonts w:ascii="Helvetica" w:hAnsi="Helvetica" w:cs="Helvetica"/>
          <w:sz w:val="20"/>
        </w:rPr>
      </w:pPr>
      <w:r w:rsidRPr="006B707C">
        <w:rPr>
          <w:rFonts w:ascii="Helvetica" w:hAnsi="Helvetica" w:cs="Helvetica"/>
          <w:sz w:val="20"/>
        </w:rPr>
        <w:t xml:space="preserve">11. </w:t>
      </w:r>
      <w:r w:rsidR="00AB372E" w:rsidRPr="006B707C">
        <w:rPr>
          <w:rFonts w:ascii="Helvetica" w:hAnsi="Helvetica" w:cs="Helvetica"/>
          <w:sz w:val="20"/>
        </w:rPr>
        <w:t>Kompozicija, kaip apibrėžta bet kuriame iš 1-4 punktų, skirta naudoti vienu metu, atskirai arba nuosekliai su anti-VEGF agentu, geriau, kaip apibrėžta 7 ir 8 punktuose, gydant akių ligą, geriau parinktą iš grupės, susidedančios iš: su amžiumi susijusios geltonosios dėmės degeneracijos, diabetinės geltonosios dėmės edemos, tinklainės venų okliuzijos, trumparegio gyslainės neovaskuliarizacijos, neovaskulinės glaukomos ir proliferacinės diabetinės retinopatijos.</w:t>
      </w:r>
    </w:p>
    <w:p w14:paraId="20AAA257" w14:textId="77777777" w:rsidR="006B707C" w:rsidRPr="006B707C" w:rsidRDefault="006B707C" w:rsidP="006B707C">
      <w:pPr>
        <w:pStyle w:val="Bodytext20"/>
        <w:widowControl/>
        <w:shd w:val="clear" w:color="auto" w:fill="auto"/>
        <w:tabs>
          <w:tab w:val="left" w:pos="458"/>
        </w:tabs>
        <w:spacing w:after="0" w:line="360" w:lineRule="auto"/>
        <w:ind w:firstLine="567"/>
        <w:jc w:val="both"/>
        <w:rPr>
          <w:rFonts w:ascii="Helvetica" w:hAnsi="Helvetica" w:cs="Helvetica"/>
          <w:sz w:val="20"/>
        </w:rPr>
      </w:pPr>
    </w:p>
    <w:p w14:paraId="7177BB4F" w14:textId="39CE7E14" w:rsidR="00391EFD" w:rsidRPr="006B707C" w:rsidRDefault="006B707C" w:rsidP="006B707C">
      <w:pPr>
        <w:pStyle w:val="Bodytext20"/>
        <w:widowControl/>
        <w:shd w:val="clear" w:color="auto" w:fill="auto"/>
        <w:tabs>
          <w:tab w:val="left" w:pos="458"/>
        </w:tabs>
        <w:spacing w:after="0" w:line="360" w:lineRule="auto"/>
        <w:ind w:firstLine="567"/>
        <w:jc w:val="both"/>
        <w:rPr>
          <w:rFonts w:ascii="Helvetica" w:hAnsi="Helvetica" w:cs="Helvetica"/>
          <w:sz w:val="20"/>
        </w:rPr>
      </w:pPr>
      <w:r w:rsidRPr="006B707C">
        <w:rPr>
          <w:rFonts w:ascii="Helvetica" w:hAnsi="Helvetica" w:cs="Helvetica"/>
          <w:sz w:val="20"/>
        </w:rPr>
        <w:t xml:space="preserve">12. </w:t>
      </w:r>
      <w:r w:rsidR="00AB372E" w:rsidRPr="006B707C">
        <w:rPr>
          <w:rFonts w:ascii="Helvetica" w:hAnsi="Helvetica" w:cs="Helvetica"/>
          <w:sz w:val="20"/>
        </w:rPr>
        <w:t>Kompozicija, skirta naudoti pagal 11 punktą,</w:t>
      </w:r>
      <w:r w:rsidRPr="006B707C">
        <w:rPr>
          <w:rFonts w:ascii="Helvetica" w:hAnsi="Helvetica" w:cs="Helvetica"/>
          <w:sz w:val="20"/>
        </w:rPr>
        <w:t xml:space="preserve"> b e s i s k i r i a n t i</w:t>
      </w:r>
      <w:r w:rsidR="009E4A72">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kompozicija vartojama per burną, geriau kasdien.</w:t>
      </w:r>
    </w:p>
    <w:p w14:paraId="46E635E1" w14:textId="77777777" w:rsidR="006B707C" w:rsidRPr="006B707C" w:rsidRDefault="006B707C" w:rsidP="006B707C">
      <w:pPr>
        <w:pStyle w:val="Bodytext20"/>
        <w:widowControl/>
        <w:shd w:val="clear" w:color="auto" w:fill="auto"/>
        <w:tabs>
          <w:tab w:val="left" w:pos="458"/>
        </w:tabs>
        <w:spacing w:after="0" w:line="360" w:lineRule="auto"/>
        <w:ind w:firstLine="567"/>
        <w:jc w:val="both"/>
        <w:rPr>
          <w:rFonts w:ascii="Helvetica" w:hAnsi="Helvetica" w:cs="Helvetica"/>
          <w:sz w:val="20"/>
        </w:rPr>
      </w:pPr>
    </w:p>
    <w:p w14:paraId="1959C4C8" w14:textId="48B63148" w:rsidR="00391EFD" w:rsidRPr="006B707C" w:rsidRDefault="006B707C" w:rsidP="006B707C">
      <w:pPr>
        <w:pStyle w:val="Bodytext20"/>
        <w:widowControl/>
        <w:shd w:val="clear" w:color="auto" w:fill="auto"/>
        <w:tabs>
          <w:tab w:val="left" w:pos="629"/>
        </w:tabs>
        <w:spacing w:after="0" w:line="360" w:lineRule="auto"/>
        <w:ind w:firstLine="567"/>
        <w:jc w:val="both"/>
        <w:rPr>
          <w:rFonts w:ascii="Helvetica" w:hAnsi="Helvetica" w:cs="Helvetica"/>
          <w:sz w:val="20"/>
        </w:rPr>
      </w:pPr>
      <w:r w:rsidRPr="006B707C">
        <w:rPr>
          <w:rFonts w:ascii="Helvetica" w:hAnsi="Helvetica" w:cs="Helvetica"/>
          <w:sz w:val="20"/>
        </w:rPr>
        <w:t xml:space="preserve">13. </w:t>
      </w:r>
      <w:r w:rsidR="00AB372E" w:rsidRPr="006B707C">
        <w:rPr>
          <w:rFonts w:ascii="Helvetica" w:hAnsi="Helvetica" w:cs="Helvetica"/>
          <w:sz w:val="20"/>
        </w:rPr>
        <w:t>Kompozicija, skirta naudoti arba pagal 11 arba pagal 12 punktą,</w:t>
      </w:r>
      <w:r w:rsidRPr="006B707C">
        <w:rPr>
          <w:rFonts w:ascii="Helvetica" w:hAnsi="Helvetica" w:cs="Helvetica"/>
          <w:sz w:val="20"/>
        </w:rPr>
        <w:t xml:space="preserve"> b e s i s k i r i a n t i</w:t>
      </w:r>
      <w:r w:rsidR="009E4A72">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anti-VEGF agentas yra įvedamas intravitrealine injekcija arba lokaliai.</w:t>
      </w:r>
    </w:p>
    <w:p w14:paraId="0D15C4BB" w14:textId="77777777" w:rsidR="006B707C" w:rsidRPr="006B707C" w:rsidRDefault="006B707C" w:rsidP="006B707C">
      <w:pPr>
        <w:pStyle w:val="Bodytext20"/>
        <w:widowControl/>
        <w:shd w:val="clear" w:color="auto" w:fill="auto"/>
        <w:tabs>
          <w:tab w:val="left" w:pos="629"/>
        </w:tabs>
        <w:spacing w:after="0" w:line="360" w:lineRule="auto"/>
        <w:ind w:firstLine="567"/>
        <w:jc w:val="both"/>
        <w:rPr>
          <w:rFonts w:ascii="Helvetica" w:hAnsi="Helvetica" w:cs="Helvetica"/>
          <w:sz w:val="20"/>
        </w:rPr>
      </w:pPr>
    </w:p>
    <w:p w14:paraId="23DEE288" w14:textId="6EAD894E" w:rsidR="00391EFD" w:rsidRPr="006B707C" w:rsidRDefault="006B707C" w:rsidP="006B707C">
      <w:pPr>
        <w:pStyle w:val="Bodytext20"/>
        <w:widowControl/>
        <w:shd w:val="clear" w:color="auto" w:fill="auto"/>
        <w:tabs>
          <w:tab w:val="left" w:pos="458"/>
        </w:tabs>
        <w:spacing w:after="0" w:line="360" w:lineRule="auto"/>
        <w:ind w:firstLine="567"/>
        <w:jc w:val="both"/>
        <w:rPr>
          <w:rFonts w:ascii="Helvetica" w:hAnsi="Helvetica" w:cs="Helvetica"/>
          <w:sz w:val="20"/>
        </w:rPr>
      </w:pPr>
      <w:r w:rsidRPr="006B707C">
        <w:rPr>
          <w:rFonts w:ascii="Helvetica" w:hAnsi="Helvetica" w:cs="Helvetica"/>
          <w:sz w:val="20"/>
        </w:rPr>
        <w:t xml:space="preserve">14. </w:t>
      </w:r>
      <w:r w:rsidR="00AB372E" w:rsidRPr="006B707C">
        <w:rPr>
          <w:rFonts w:ascii="Helvetica" w:hAnsi="Helvetica" w:cs="Helvetica"/>
          <w:sz w:val="20"/>
        </w:rPr>
        <w:t>Kompozicija, skirta naudoti pagal bet kurį iš 11-13 punktų,</w:t>
      </w:r>
      <w:r w:rsidRPr="006B707C">
        <w:rPr>
          <w:rFonts w:ascii="Helvetica" w:hAnsi="Helvetica" w:cs="Helvetica"/>
          <w:sz w:val="20"/>
        </w:rPr>
        <w:t xml:space="preserve"> b e s i s k i r i a n t i </w:t>
      </w:r>
      <w:r w:rsidR="009E4A72">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anti-VEGF agento dozė ir (arba) vartojimo dažnis yra sumažintas, lyginant su doze ir (arba) dažniu, taikomu subjektui, kuris negauna kompozicijos.</w:t>
      </w:r>
    </w:p>
    <w:p w14:paraId="162BDDB6" w14:textId="77777777" w:rsidR="006B707C" w:rsidRPr="006B707C" w:rsidRDefault="006B707C" w:rsidP="006B707C">
      <w:pPr>
        <w:pStyle w:val="Bodytext20"/>
        <w:widowControl/>
        <w:shd w:val="clear" w:color="auto" w:fill="auto"/>
        <w:tabs>
          <w:tab w:val="left" w:pos="458"/>
        </w:tabs>
        <w:spacing w:after="0" w:line="360" w:lineRule="auto"/>
        <w:ind w:firstLine="567"/>
        <w:jc w:val="both"/>
        <w:rPr>
          <w:rFonts w:ascii="Helvetica" w:hAnsi="Helvetica" w:cs="Helvetica"/>
          <w:sz w:val="20"/>
        </w:rPr>
      </w:pPr>
    </w:p>
    <w:p w14:paraId="38A545E3" w14:textId="2B7AC416" w:rsidR="00391EFD" w:rsidRPr="006B707C" w:rsidRDefault="006B707C" w:rsidP="006B707C">
      <w:pPr>
        <w:pStyle w:val="Bodytext20"/>
        <w:widowControl/>
        <w:shd w:val="clear" w:color="auto" w:fill="auto"/>
        <w:tabs>
          <w:tab w:val="left" w:pos="458"/>
        </w:tabs>
        <w:spacing w:after="0" w:line="360" w:lineRule="auto"/>
        <w:ind w:firstLine="567"/>
        <w:jc w:val="both"/>
        <w:rPr>
          <w:rFonts w:ascii="Helvetica" w:hAnsi="Helvetica" w:cs="Helvetica"/>
          <w:sz w:val="20"/>
        </w:rPr>
      </w:pPr>
      <w:r w:rsidRPr="006B707C">
        <w:rPr>
          <w:rFonts w:ascii="Helvetica" w:hAnsi="Helvetica" w:cs="Helvetica"/>
          <w:sz w:val="20"/>
        </w:rPr>
        <w:t xml:space="preserve">15. </w:t>
      </w:r>
      <w:r w:rsidR="00AB372E" w:rsidRPr="006B707C">
        <w:rPr>
          <w:rFonts w:ascii="Helvetica" w:hAnsi="Helvetica" w:cs="Helvetica"/>
          <w:sz w:val="20"/>
        </w:rPr>
        <w:t>Kompozicija, skirta naudoti pagal 14 punktą,</w:t>
      </w:r>
      <w:r w:rsidRPr="006B707C">
        <w:rPr>
          <w:rFonts w:ascii="Helvetica" w:hAnsi="Helvetica" w:cs="Helvetica"/>
          <w:sz w:val="20"/>
        </w:rPr>
        <w:t xml:space="preserve"> b e s i s k i r i a n t i </w:t>
      </w:r>
      <w:r w:rsidR="00AC2396">
        <w:rPr>
          <w:rFonts w:ascii="Helvetica" w:hAnsi="Helvetica" w:cs="Helvetica"/>
          <w:sz w:val="20"/>
        </w:rPr>
        <w:t xml:space="preserve"> t u o</w:t>
      </w:r>
      <w:r w:rsidR="00AB372E" w:rsidRPr="006B707C">
        <w:rPr>
          <w:rStyle w:val="Bodytext2Spacing3pt0"/>
          <w:rFonts w:ascii="Helvetica" w:hAnsi="Helvetica" w:cs="Helvetica"/>
          <w:sz w:val="20"/>
        </w:rPr>
        <w:t>,</w:t>
      </w:r>
      <w:r w:rsidR="00AB372E" w:rsidRPr="006B707C">
        <w:rPr>
          <w:rFonts w:ascii="Helvetica" w:hAnsi="Helvetica" w:cs="Helvetica"/>
          <w:sz w:val="20"/>
        </w:rPr>
        <w:t xml:space="preserve"> kad intervalas tarp dviejų anti-VEGF agento skyrimų yra didesnis negu 30 dienų, geriau didesnis negu 45 dienos, pageidautina didesnis negu 60 dienų arba net didesnis negu 75 dienos, dar geriau didesnis negu 90 dienų, lyginant su intervalu tarp dviejų anti-VEGF agento skyrimų subjektui, kuris negauna kompozicijos.</w:t>
      </w:r>
    </w:p>
    <w:sectPr w:rsidR="00391EFD" w:rsidRPr="006B707C" w:rsidSect="006B707C">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EA8D" w14:textId="77777777" w:rsidR="009D4A79" w:rsidRDefault="009D4A79">
      <w:r>
        <w:separator/>
      </w:r>
    </w:p>
  </w:endnote>
  <w:endnote w:type="continuationSeparator" w:id="0">
    <w:p w14:paraId="48B58D67" w14:textId="77777777" w:rsidR="009D4A79" w:rsidRDefault="009D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54E5" w14:textId="77777777" w:rsidR="009D4A79" w:rsidRDefault="009D4A79"/>
  </w:footnote>
  <w:footnote w:type="continuationSeparator" w:id="0">
    <w:p w14:paraId="7F50BDDB" w14:textId="77777777" w:rsidR="009D4A79" w:rsidRDefault="009D4A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D35BB"/>
    <w:multiLevelType w:val="multilevel"/>
    <w:tmpl w:val="288CF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591518"/>
    <w:multiLevelType w:val="multilevel"/>
    <w:tmpl w:val="D74E8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5023834">
    <w:abstractNumId w:val="0"/>
  </w:num>
  <w:num w:numId="2" w16cid:durableId="2004308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91EFD"/>
    <w:rsid w:val="002919AF"/>
    <w:rsid w:val="00391EFD"/>
    <w:rsid w:val="00483B3C"/>
    <w:rsid w:val="00655B46"/>
    <w:rsid w:val="006B707C"/>
    <w:rsid w:val="009D4A79"/>
    <w:rsid w:val="009E4A72"/>
    <w:rsid w:val="00AB372E"/>
    <w:rsid w:val="00AC2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CD49F"/>
  <w15:docId w15:val="{6EE72F88-3F02-43F6-96E7-39FD72A5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Spacing3pt">
    <w:name w:val="Body text (2) + Spacing 3 pt"/>
    <w:basedOn w:val="Bodytext2"/>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lt-LT" w:eastAsia="lt-LT" w:bidi="lt-LT"/>
    </w:rPr>
  </w:style>
  <w:style w:type="character" w:customStyle="1" w:styleId="Bodytext2Spacing3pt0">
    <w:name w:val="Body text (2) + Spacing 3 pt"/>
    <w:basedOn w:val="Bodytext2"/>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lt-LT" w:eastAsia="lt-LT" w:bidi="lt-LT"/>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sz w:val="19"/>
      <w:szCs w:val="19"/>
      <w:u w:val="none"/>
    </w:rPr>
  </w:style>
  <w:style w:type="paragraph" w:customStyle="1" w:styleId="Bodytext20">
    <w:name w:val="Body text (2)"/>
    <w:basedOn w:val="prastasis"/>
    <w:link w:val="Bodytext2"/>
    <w:pPr>
      <w:shd w:val="clear" w:color="auto" w:fill="FFFFFF"/>
      <w:spacing w:after="420" w:line="288" w:lineRule="exact"/>
      <w:jc w:val="right"/>
    </w:pPr>
    <w:rPr>
      <w:rFonts w:ascii="Times New Roman" w:eastAsia="Times New Roman" w:hAnsi="Times New Roman" w:cs="Times New Roman"/>
      <w:sz w:val="26"/>
      <w:szCs w:val="26"/>
    </w:rPr>
  </w:style>
  <w:style w:type="paragraph" w:customStyle="1" w:styleId="Bodytext30">
    <w:name w:val="Body text (3)"/>
    <w:basedOn w:val="prastasis"/>
    <w:link w:val="Bodytext3"/>
    <w:pPr>
      <w:shd w:val="clear" w:color="auto" w:fill="FFFFFF"/>
      <w:spacing w:after="560" w:line="210" w:lineRule="exact"/>
      <w:jc w:val="center"/>
    </w:pPr>
    <w:rPr>
      <w:rFonts w:ascii="Times New Roman" w:eastAsia="Times New Roman" w:hAnsi="Times New Roman" w:cs="Times New Roman"/>
      <w:b/>
      <w:bCs/>
      <w:sz w:val="19"/>
      <w:szCs w:val="19"/>
    </w:rPr>
  </w:style>
  <w:style w:type="paragraph" w:styleId="Antrats">
    <w:name w:val="header"/>
    <w:basedOn w:val="prastasis"/>
    <w:link w:val="AntratsDiagrama"/>
    <w:uiPriority w:val="99"/>
    <w:unhideWhenUsed/>
    <w:rsid w:val="006B707C"/>
    <w:pPr>
      <w:tabs>
        <w:tab w:val="center" w:pos="4986"/>
        <w:tab w:val="right" w:pos="9972"/>
      </w:tabs>
    </w:pPr>
  </w:style>
  <w:style w:type="character" w:customStyle="1" w:styleId="AntratsDiagrama">
    <w:name w:val="Antraštės Diagrama"/>
    <w:basedOn w:val="Numatytasispastraiposriftas"/>
    <w:link w:val="Antrats"/>
    <w:uiPriority w:val="99"/>
    <w:rsid w:val="006B707C"/>
    <w:rPr>
      <w:color w:val="000000"/>
    </w:rPr>
  </w:style>
  <w:style w:type="paragraph" w:styleId="Porat">
    <w:name w:val="footer"/>
    <w:basedOn w:val="prastasis"/>
    <w:link w:val="PoratDiagrama"/>
    <w:uiPriority w:val="99"/>
    <w:unhideWhenUsed/>
    <w:rsid w:val="006B707C"/>
    <w:pPr>
      <w:tabs>
        <w:tab w:val="center" w:pos="4986"/>
        <w:tab w:val="right" w:pos="9972"/>
      </w:tabs>
    </w:pPr>
  </w:style>
  <w:style w:type="character" w:customStyle="1" w:styleId="PoratDiagrama">
    <w:name w:val="Poraštė Diagrama"/>
    <w:basedOn w:val="Numatytasispastraiposriftas"/>
    <w:link w:val="Porat"/>
    <w:uiPriority w:val="99"/>
    <w:rsid w:val="006B707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658</Words>
  <Characters>3751</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Gurčytė</dc:creator>
  <cp:lastModifiedBy>Rasa Gurčytė</cp:lastModifiedBy>
  <cp:revision>8</cp:revision>
  <dcterms:created xsi:type="dcterms:W3CDTF">2023-04-03T11:12:00Z</dcterms:created>
  <dcterms:modified xsi:type="dcterms:W3CDTF">2023-04-18T13:00:00Z</dcterms:modified>
</cp:coreProperties>
</file>