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4C073" w14:textId="46AAE9B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1.</w:t>
      </w:r>
      <w:r w:rsidR="00CF247A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žmogaus plaučių arterinei hipertenzijai (PAH) gydyti ir (arba) jos profilaktikai,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yra 60–90 mg per parą.</w:t>
      </w:r>
    </w:p>
    <w:p w14:paraId="3179C9FE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A87CF53" w14:textId="4F988174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2.</w:t>
      </w:r>
      <w:r w:rsidR="00CF247A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yra 70–80 mg per parą.</w:t>
      </w:r>
    </w:p>
    <w:p w14:paraId="4521D3C4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7296AF0" w14:textId="0274E398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3.</w:t>
      </w:r>
      <w:r w:rsidR="00CF247A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 arba 2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yra 75 mg per parą.</w:t>
      </w:r>
    </w:p>
    <w:p w14:paraId="6C086DF7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AF82D1D" w14:textId="45CAEA85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pacing w:val="2"/>
          <w:sz w:val="20"/>
        </w:rPr>
      </w:pPr>
      <w:r w:rsidRPr="00CF247A">
        <w:rPr>
          <w:rFonts w:ascii="Helvetica" w:hAnsi="Helvetica" w:cs="Times New Roman"/>
          <w:sz w:val="20"/>
        </w:rPr>
        <w:t>4.</w:t>
      </w:r>
      <w:r w:rsidR="00CF247A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pacing w:val="2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pacing w:val="2"/>
          <w:sz w:val="20"/>
        </w:rPr>
        <w:t>, skirtas PAH gydyti ir (arba) jos profilaktikai pagal bet kurį iš 1–3 punktų, kai PAH yra lengva arba vidutinio sunkumo, pageidautina – vidutinio sunkumo.</w:t>
      </w:r>
    </w:p>
    <w:p w14:paraId="467FB306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pacing w:val="2"/>
          <w:sz w:val="20"/>
        </w:rPr>
      </w:pPr>
    </w:p>
    <w:p w14:paraId="0DE786A8" w14:textId="15CF5412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5.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1–4 punktų,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yra 30–45 mg du kartus per parą, pageidautina – 35–40 mg du kartus per parą.</w:t>
      </w:r>
    </w:p>
    <w:p w14:paraId="26840D2C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6259BB3" w14:textId="47DB3A09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6.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1–4 punktų,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yra 37,5 mg du kartus per parą.</w:t>
      </w:r>
    </w:p>
    <w:p w14:paraId="41669C8B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6BD2CC22" w14:textId="588F9BBD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7.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1–4 punktų,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per parą iki 25–50 mg per parą, pageidautina – 37,5 mg per parą, po to – iki 60–90 mg per parą, pageidautina – 75 mg per parą.</w:t>
      </w:r>
    </w:p>
    <w:p w14:paraId="71E129B3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0EE37B4" w14:textId="4D2BFE3F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8.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7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per parą iki 37,5 mg per parą, po to – iki 75 mg per parą.</w:t>
      </w:r>
    </w:p>
    <w:p w14:paraId="1D43E8BD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DDBB7E7" w14:textId="468B106E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pacing w:val="2"/>
          <w:sz w:val="20"/>
        </w:rPr>
      </w:pPr>
      <w:r w:rsidRPr="00CF247A">
        <w:rPr>
          <w:rFonts w:ascii="Helvetica" w:hAnsi="Helvetica" w:cs="Times New Roman"/>
          <w:sz w:val="20"/>
        </w:rPr>
        <w:t>9.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pacing w:val="2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pacing w:val="2"/>
          <w:sz w:val="20"/>
        </w:rPr>
        <w:t xml:space="preserve">, skirtas PAH gydyti ir (arba) jos profilaktikai pagal bet kurį iš 1–4 punktų, kai </w:t>
      </w:r>
      <w:proofErr w:type="spellStart"/>
      <w:r w:rsidRPr="00CF247A">
        <w:rPr>
          <w:rFonts w:ascii="Helvetica" w:hAnsi="Helvetica" w:cs="Times New Roman"/>
          <w:spacing w:val="2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pacing w:val="2"/>
          <w:sz w:val="20"/>
        </w:rPr>
        <w:t xml:space="preserve"> dozė didinama nuo 10 mg per parą iki 60–90 mg per parą.</w:t>
      </w:r>
    </w:p>
    <w:p w14:paraId="465670CA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pacing w:val="2"/>
          <w:sz w:val="20"/>
        </w:rPr>
      </w:pPr>
    </w:p>
    <w:p w14:paraId="112AE5A6" w14:textId="10215EB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10.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9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per parą iki 75 mg vieną kartą per parą arba 37,5 mg du kartus per parą.</w:t>
      </w:r>
    </w:p>
    <w:p w14:paraId="7B2F6C24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5B8C4C8" w14:textId="5701AC95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11.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8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vieną kartą per parą nuo 15 iki 45 dienų iki 25–50 mg per parą nuo 15 iki 45 dienų; po to – iki 60–90 mg per parą.</w:t>
      </w:r>
    </w:p>
    <w:p w14:paraId="7C7C84BA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C61FE55" w14:textId="2CA93B9B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12.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11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vieną kartą per parą nuo 15 iki 45 dienų iki 37,5 mg kartą per parą nuo 15 iki 45 dienų; po to – iki 75 mg kartą per parą arba 37,5 mg du kartus per parą.</w:t>
      </w:r>
    </w:p>
    <w:p w14:paraId="2DF3EBAE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666B5E8" w14:textId="0D0AB6DB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13.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9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vieną kartą per parą nuo 15 iki 45 dienų iki 60–90 mg per parą.</w:t>
      </w:r>
    </w:p>
    <w:p w14:paraId="3B949537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4D5D5382" w14:textId="1005096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lastRenderedPageBreak/>
        <w:t>14.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10 punktą,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10 mg vieną kartą per parą nuo 15 iki 45 dienų iki 75 mg kartą per parą arba 37,5 mg du kartus per parą.</w:t>
      </w:r>
    </w:p>
    <w:p w14:paraId="398A7AAC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0596DFB" w14:textId="6F9FD9A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15.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1–4 punktų, kai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dozė didinama nuo 25–50 mg per parą, pageidautina – 37,5 mg per parą, pageidautina – nuo 15 iki 45 dienų, iki 60–90 mg per parą, pageidautina – 75 mg per parą; jei pacientas jau yra gydomas </w:t>
      </w:r>
      <w:proofErr w:type="spellStart"/>
      <w:r w:rsidRPr="00CF247A">
        <w:rPr>
          <w:rFonts w:ascii="Helvetica" w:hAnsi="Helvetica" w:cs="Times New Roman"/>
          <w:sz w:val="20"/>
        </w:rPr>
        <w:t>endotelino</w:t>
      </w:r>
      <w:proofErr w:type="spellEnd"/>
      <w:r w:rsidRPr="00CF247A">
        <w:rPr>
          <w:rFonts w:ascii="Helvetica" w:hAnsi="Helvetica" w:cs="Times New Roman"/>
          <w:sz w:val="20"/>
        </w:rPr>
        <w:t xml:space="preserve"> receptorių antagonistu, pageidautina – pasirinktu iš </w:t>
      </w:r>
      <w:proofErr w:type="spellStart"/>
      <w:r w:rsidRPr="00CF247A">
        <w:rPr>
          <w:rFonts w:ascii="Helvetica" w:hAnsi="Helvetica" w:cs="Times New Roman"/>
          <w:sz w:val="20"/>
        </w:rPr>
        <w:t>bosentano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ambrisentano</w:t>
      </w:r>
      <w:proofErr w:type="spellEnd"/>
      <w:r w:rsidRPr="00CF247A">
        <w:rPr>
          <w:rFonts w:ascii="Helvetica" w:hAnsi="Helvetica" w:cs="Times New Roman"/>
          <w:sz w:val="20"/>
        </w:rPr>
        <w:t>.</w:t>
      </w:r>
    </w:p>
    <w:p w14:paraId="24D81E60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51DD0229" w14:textId="10FD9D55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16.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1–4 punktų, jei pacientas jau yra gydomas </w:t>
      </w:r>
      <w:proofErr w:type="spellStart"/>
      <w:r w:rsidRPr="00CF247A">
        <w:rPr>
          <w:rFonts w:ascii="Helvetica" w:hAnsi="Helvetica" w:cs="Times New Roman"/>
          <w:sz w:val="20"/>
        </w:rPr>
        <w:t>endotelino</w:t>
      </w:r>
      <w:proofErr w:type="spellEnd"/>
      <w:r w:rsidRPr="00CF247A">
        <w:rPr>
          <w:rFonts w:ascii="Helvetica" w:hAnsi="Helvetica" w:cs="Times New Roman"/>
          <w:sz w:val="20"/>
        </w:rPr>
        <w:t xml:space="preserve"> receptorių antagonistu, pageidautina – pasirinktu iš </w:t>
      </w:r>
      <w:proofErr w:type="spellStart"/>
      <w:r w:rsidRPr="00CF247A">
        <w:rPr>
          <w:rFonts w:ascii="Helvetica" w:hAnsi="Helvetica" w:cs="Times New Roman"/>
          <w:sz w:val="20"/>
        </w:rPr>
        <w:t>bosentano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ambrisentano</w:t>
      </w:r>
      <w:proofErr w:type="spellEnd"/>
      <w:r w:rsidRPr="00CF247A">
        <w:rPr>
          <w:rFonts w:ascii="Helvetica" w:hAnsi="Helvetica" w:cs="Times New Roman"/>
          <w:sz w:val="20"/>
        </w:rPr>
        <w:t>.</w:t>
      </w:r>
    </w:p>
    <w:p w14:paraId="5BBC644F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6A8BFC7" w14:textId="6B6884E9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17.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bet kurį iš 1–16 punktų, kai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 derinamas su PDE5 inhibitoriumi ir (arba) </w:t>
      </w:r>
      <w:proofErr w:type="spellStart"/>
      <w:r w:rsidRPr="00CF247A">
        <w:rPr>
          <w:rFonts w:ascii="Helvetica" w:hAnsi="Helvetica" w:cs="Times New Roman"/>
          <w:sz w:val="20"/>
        </w:rPr>
        <w:t>prostaciklino</w:t>
      </w:r>
      <w:proofErr w:type="spellEnd"/>
      <w:r w:rsidRPr="00CF247A">
        <w:rPr>
          <w:rFonts w:ascii="Helvetica" w:hAnsi="Helvetica" w:cs="Times New Roman"/>
          <w:sz w:val="20"/>
        </w:rPr>
        <w:t xml:space="preserve"> analogu, pasirinktu iš </w:t>
      </w:r>
      <w:proofErr w:type="spellStart"/>
      <w:r w:rsidRPr="00CF247A">
        <w:rPr>
          <w:rFonts w:ascii="Helvetica" w:hAnsi="Helvetica" w:cs="Times New Roman"/>
          <w:sz w:val="20"/>
        </w:rPr>
        <w:t>epoprostenolio</w:t>
      </w:r>
      <w:proofErr w:type="spellEnd"/>
      <w:r w:rsidRPr="00CF247A">
        <w:rPr>
          <w:rFonts w:ascii="Helvetica" w:hAnsi="Helvetica" w:cs="Times New Roman"/>
          <w:sz w:val="20"/>
        </w:rPr>
        <w:t xml:space="preserve">, </w:t>
      </w:r>
      <w:proofErr w:type="spellStart"/>
      <w:r w:rsidRPr="00CF247A">
        <w:rPr>
          <w:rFonts w:ascii="Helvetica" w:hAnsi="Helvetica" w:cs="Times New Roman"/>
          <w:sz w:val="20"/>
        </w:rPr>
        <w:t>treprostinilo</w:t>
      </w:r>
      <w:proofErr w:type="spellEnd"/>
      <w:r w:rsidRPr="00CF247A">
        <w:rPr>
          <w:rFonts w:ascii="Helvetica" w:hAnsi="Helvetica" w:cs="Times New Roman"/>
          <w:sz w:val="20"/>
        </w:rPr>
        <w:t xml:space="preserve">, </w:t>
      </w:r>
      <w:proofErr w:type="spellStart"/>
      <w:r w:rsidRPr="00CF247A">
        <w:rPr>
          <w:rFonts w:ascii="Helvetica" w:hAnsi="Helvetica" w:cs="Times New Roman"/>
          <w:sz w:val="20"/>
        </w:rPr>
        <w:t>iloprosto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beraprosto</w:t>
      </w:r>
      <w:proofErr w:type="spellEnd"/>
      <w:r w:rsidRPr="00CF247A">
        <w:rPr>
          <w:rFonts w:ascii="Helvetica" w:hAnsi="Helvetica" w:cs="Times New Roman"/>
          <w:sz w:val="20"/>
        </w:rPr>
        <w:t xml:space="preserve">, ir (arba) </w:t>
      </w:r>
      <w:proofErr w:type="spellStart"/>
      <w:r w:rsidRPr="00CF247A">
        <w:rPr>
          <w:rFonts w:ascii="Helvetica" w:hAnsi="Helvetica" w:cs="Times New Roman"/>
          <w:sz w:val="20"/>
        </w:rPr>
        <w:t>prostaciklino</w:t>
      </w:r>
      <w:proofErr w:type="spellEnd"/>
      <w:r w:rsidRPr="00CF247A">
        <w:rPr>
          <w:rFonts w:ascii="Helvetica" w:hAnsi="Helvetica" w:cs="Times New Roman"/>
          <w:sz w:val="20"/>
        </w:rPr>
        <w:t xml:space="preserve"> receptorių </w:t>
      </w:r>
      <w:proofErr w:type="spellStart"/>
      <w:r w:rsidRPr="00CF247A">
        <w:rPr>
          <w:rFonts w:ascii="Helvetica" w:hAnsi="Helvetica" w:cs="Times New Roman"/>
          <w:sz w:val="20"/>
        </w:rPr>
        <w:t>agonistu</w:t>
      </w:r>
      <w:proofErr w:type="spellEnd"/>
      <w:r w:rsidRPr="00CF247A">
        <w:rPr>
          <w:rFonts w:ascii="Helvetica" w:hAnsi="Helvetica" w:cs="Times New Roman"/>
          <w:sz w:val="20"/>
        </w:rPr>
        <w:t xml:space="preserve"> ir (arba) tirpiuoju </w:t>
      </w:r>
      <w:proofErr w:type="spellStart"/>
      <w:r w:rsidRPr="00CF247A">
        <w:rPr>
          <w:rFonts w:ascii="Helvetica" w:hAnsi="Helvetica" w:cs="Times New Roman"/>
          <w:sz w:val="20"/>
        </w:rPr>
        <w:t>guanilatciklazės</w:t>
      </w:r>
      <w:proofErr w:type="spellEnd"/>
      <w:r w:rsidRPr="00CF247A">
        <w:rPr>
          <w:rFonts w:ascii="Helvetica" w:hAnsi="Helvetica" w:cs="Times New Roman"/>
          <w:sz w:val="20"/>
        </w:rPr>
        <w:t xml:space="preserve"> stimuliatoriumi.</w:t>
      </w:r>
    </w:p>
    <w:p w14:paraId="56766E1D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2D209D0" w14:textId="371D7B92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18.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17 punktą, kai PDE5 inhibitorius pasirinktas iš </w:t>
      </w:r>
      <w:proofErr w:type="spellStart"/>
      <w:r w:rsidRPr="00CF247A">
        <w:rPr>
          <w:rFonts w:ascii="Helvetica" w:hAnsi="Helvetica" w:cs="Times New Roman"/>
          <w:sz w:val="20"/>
        </w:rPr>
        <w:t>sildenafilio</w:t>
      </w:r>
      <w:proofErr w:type="spellEnd"/>
      <w:r w:rsidRPr="00CF247A">
        <w:rPr>
          <w:rFonts w:ascii="Helvetica" w:hAnsi="Helvetica" w:cs="Times New Roman"/>
          <w:sz w:val="20"/>
        </w:rPr>
        <w:t xml:space="preserve">, </w:t>
      </w:r>
      <w:proofErr w:type="spellStart"/>
      <w:r w:rsidRPr="00CF247A">
        <w:rPr>
          <w:rFonts w:ascii="Helvetica" w:hAnsi="Helvetica" w:cs="Times New Roman"/>
          <w:sz w:val="20"/>
        </w:rPr>
        <w:t>tadalafilio</w:t>
      </w:r>
      <w:proofErr w:type="spellEnd"/>
      <w:r w:rsidRPr="00CF247A">
        <w:rPr>
          <w:rFonts w:ascii="Helvetica" w:hAnsi="Helvetica" w:cs="Times New Roman"/>
          <w:sz w:val="20"/>
        </w:rPr>
        <w:t xml:space="preserve">, </w:t>
      </w:r>
      <w:proofErr w:type="spellStart"/>
      <w:r w:rsidRPr="00CF247A">
        <w:rPr>
          <w:rFonts w:ascii="Helvetica" w:hAnsi="Helvetica" w:cs="Times New Roman"/>
          <w:sz w:val="20"/>
        </w:rPr>
        <w:t>vardenafilio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udenafilio</w:t>
      </w:r>
      <w:proofErr w:type="spellEnd"/>
      <w:r w:rsidRPr="00CF247A">
        <w:rPr>
          <w:rFonts w:ascii="Helvetica" w:hAnsi="Helvetica" w:cs="Times New Roman"/>
          <w:sz w:val="20"/>
        </w:rPr>
        <w:t xml:space="preserve">; </w:t>
      </w:r>
      <w:proofErr w:type="spellStart"/>
      <w:r w:rsidRPr="00CF247A">
        <w:rPr>
          <w:rFonts w:ascii="Helvetica" w:hAnsi="Helvetica" w:cs="Times New Roman"/>
          <w:sz w:val="20"/>
        </w:rPr>
        <w:t>prostaciklino</w:t>
      </w:r>
      <w:proofErr w:type="spellEnd"/>
      <w:r w:rsidRPr="00CF247A">
        <w:rPr>
          <w:rFonts w:ascii="Helvetica" w:hAnsi="Helvetica" w:cs="Times New Roman"/>
          <w:sz w:val="20"/>
        </w:rPr>
        <w:t xml:space="preserve"> receptorių </w:t>
      </w:r>
      <w:proofErr w:type="spellStart"/>
      <w:r w:rsidRPr="00CF247A">
        <w:rPr>
          <w:rFonts w:ascii="Helvetica" w:hAnsi="Helvetica" w:cs="Times New Roman"/>
          <w:sz w:val="20"/>
        </w:rPr>
        <w:t>agonistas</w:t>
      </w:r>
      <w:proofErr w:type="spellEnd"/>
      <w:r w:rsidRPr="00CF247A">
        <w:rPr>
          <w:rFonts w:ascii="Helvetica" w:hAnsi="Helvetica" w:cs="Times New Roman"/>
          <w:sz w:val="20"/>
        </w:rPr>
        <w:t xml:space="preserve"> pasirinktas iš </w:t>
      </w:r>
      <w:proofErr w:type="spellStart"/>
      <w:r w:rsidRPr="00CF247A">
        <w:rPr>
          <w:rFonts w:ascii="Helvetica" w:hAnsi="Helvetica" w:cs="Times New Roman"/>
          <w:sz w:val="20"/>
        </w:rPr>
        <w:t>seleksipago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ralinepago</w:t>
      </w:r>
      <w:proofErr w:type="spellEnd"/>
      <w:r w:rsidRPr="00CF247A">
        <w:rPr>
          <w:rFonts w:ascii="Helvetica" w:hAnsi="Helvetica" w:cs="Times New Roman"/>
          <w:sz w:val="20"/>
        </w:rPr>
        <w:t xml:space="preserve">; ir tirpusis </w:t>
      </w:r>
      <w:proofErr w:type="spellStart"/>
      <w:r w:rsidRPr="00CF247A">
        <w:rPr>
          <w:rFonts w:ascii="Helvetica" w:hAnsi="Helvetica" w:cs="Times New Roman"/>
          <w:sz w:val="20"/>
        </w:rPr>
        <w:t>guanilatciklazės</w:t>
      </w:r>
      <w:proofErr w:type="spellEnd"/>
      <w:r w:rsidRPr="00CF247A">
        <w:rPr>
          <w:rFonts w:ascii="Helvetica" w:hAnsi="Helvetica" w:cs="Times New Roman"/>
          <w:sz w:val="20"/>
        </w:rPr>
        <w:t xml:space="preserve"> stimuliatorius pasirinktas iš </w:t>
      </w:r>
      <w:proofErr w:type="spellStart"/>
      <w:r w:rsidRPr="00CF247A">
        <w:rPr>
          <w:rFonts w:ascii="Helvetica" w:hAnsi="Helvetica" w:cs="Times New Roman"/>
          <w:sz w:val="20"/>
        </w:rPr>
        <w:t>riociguato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vericiguato</w:t>
      </w:r>
      <w:proofErr w:type="spellEnd"/>
      <w:r w:rsidRPr="00CF247A">
        <w:rPr>
          <w:rFonts w:ascii="Helvetica" w:hAnsi="Helvetica" w:cs="Times New Roman"/>
          <w:sz w:val="20"/>
        </w:rPr>
        <w:t>.</w:t>
      </w:r>
    </w:p>
    <w:p w14:paraId="6379EB37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ECF4635" w14:textId="04356A5C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19.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17 arba 18 punktą, kai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 derinamas su </w:t>
      </w:r>
      <w:proofErr w:type="spellStart"/>
      <w:r w:rsidRPr="00CF247A">
        <w:rPr>
          <w:rFonts w:ascii="Helvetica" w:hAnsi="Helvetica" w:cs="Times New Roman"/>
          <w:sz w:val="20"/>
        </w:rPr>
        <w:t>tadalafiliu</w:t>
      </w:r>
      <w:proofErr w:type="spellEnd"/>
      <w:r w:rsidRPr="00CF247A">
        <w:rPr>
          <w:rFonts w:ascii="Helvetica" w:hAnsi="Helvetica" w:cs="Times New Roman"/>
          <w:sz w:val="20"/>
        </w:rPr>
        <w:t xml:space="preserve"> ir (arba) </w:t>
      </w:r>
      <w:proofErr w:type="spellStart"/>
      <w:r w:rsidRPr="00CF247A">
        <w:rPr>
          <w:rFonts w:ascii="Helvetica" w:hAnsi="Helvetica" w:cs="Times New Roman"/>
          <w:sz w:val="20"/>
        </w:rPr>
        <w:t>seleksipagu</w:t>
      </w:r>
      <w:proofErr w:type="spellEnd"/>
      <w:r w:rsidRPr="00CF247A">
        <w:rPr>
          <w:rFonts w:ascii="Helvetica" w:hAnsi="Helvetica" w:cs="Times New Roman"/>
          <w:sz w:val="20"/>
        </w:rPr>
        <w:t xml:space="preserve"> arba </w:t>
      </w:r>
      <w:proofErr w:type="spellStart"/>
      <w:r w:rsidRPr="00CF247A">
        <w:rPr>
          <w:rFonts w:ascii="Helvetica" w:hAnsi="Helvetica" w:cs="Times New Roman"/>
          <w:sz w:val="20"/>
        </w:rPr>
        <w:t>ralinepagu</w:t>
      </w:r>
      <w:proofErr w:type="spellEnd"/>
      <w:r w:rsidRPr="00CF247A">
        <w:rPr>
          <w:rFonts w:ascii="Helvetica" w:hAnsi="Helvetica" w:cs="Times New Roman"/>
          <w:sz w:val="20"/>
        </w:rPr>
        <w:t xml:space="preserve">, pageidautina – su </w:t>
      </w:r>
      <w:proofErr w:type="spellStart"/>
      <w:r w:rsidRPr="00CF247A">
        <w:rPr>
          <w:rFonts w:ascii="Helvetica" w:hAnsi="Helvetica" w:cs="Times New Roman"/>
          <w:sz w:val="20"/>
        </w:rPr>
        <w:t>tadalafiliu</w:t>
      </w:r>
      <w:proofErr w:type="spellEnd"/>
      <w:r w:rsidRPr="00CF247A">
        <w:rPr>
          <w:rFonts w:ascii="Helvetica" w:hAnsi="Helvetica" w:cs="Times New Roman"/>
          <w:sz w:val="20"/>
        </w:rPr>
        <w:t xml:space="preserve"> ir (arba) </w:t>
      </w:r>
      <w:proofErr w:type="spellStart"/>
      <w:r w:rsidRPr="00CF247A">
        <w:rPr>
          <w:rFonts w:ascii="Helvetica" w:hAnsi="Helvetica" w:cs="Times New Roman"/>
          <w:sz w:val="20"/>
        </w:rPr>
        <w:t>seleksipagu</w:t>
      </w:r>
      <w:proofErr w:type="spellEnd"/>
      <w:r w:rsidRPr="00CF247A">
        <w:rPr>
          <w:rFonts w:ascii="Helvetica" w:hAnsi="Helvetica" w:cs="Times New Roman"/>
          <w:sz w:val="20"/>
        </w:rPr>
        <w:t>.</w:t>
      </w:r>
    </w:p>
    <w:p w14:paraId="08E200A6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30C52A55" w14:textId="12D6B7EE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20.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ir (arba) jos profilaktikai pagal 19 punktą, kai </w:t>
      </w:r>
      <w:proofErr w:type="spellStart"/>
      <w:r w:rsidRPr="00CF247A">
        <w:rPr>
          <w:rFonts w:ascii="Helvetica" w:hAnsi="Helvetica" w:cs="Times New Roman"/>
          <w:sz w:val="20"/>
        </w:rPr>
        <w:t>tadalafilio</w:t>
      </w:r>
      <w:proofErr w:type="spellEnd"/>
      <w:r w:rsidRPr="00CF247A">
        <w:rPr>
          <w:rFonts w:ascii="Helvetica" w:hAnsi="Helvetica" w:cs="Times New Roman"/>
          <w:sz w:val="20"/>
        </w:rPr>
        <w:t xml:space="preserve"> dozė, jei taikoma, yra 20–40 mg per parą, pageidautina – 40 mg per parą, </w:t>
      </w:r>
      <w:proofErr w:type="spellStart"/>
      <w:r w:rsidRPr="00CF247A">
        <w:rPr>
          <w:rFonts w:ascii="Helvetica" w:hAnsi="Helvetica" w:cs="Times New Roman"/>
          <w:sz w:val="20"/>
        </w:rPr>
        <w:t>seleksipago</w:t>
      </w:r>
      <w:proofErr w:type="spellEnd"/>
      <w:r w:rsidRPr="00CF247A">
        <w:rPr>
          <w:rFonts w:ascii="Helvetica" w:hAnsi="Helvetica" w:cs="Times New Roman"/>
          <w:sz w:val="20"/>
        </w:rPr>
        <w:t xml:space="preserve"> dozė, jei taikoma, yra 0,2–1,6 mg du kartus per parą, o </w:t>
      </w:r>
      <w:proofErr w:type="spellStart"/>
      <w:r w:rsidRPr="00CF247A">
        <w:rPr>
          <w:rFonts w:ascii="Helvetica" w:hAnsi="Helvetica" w:cs="Times New Roman"/>
          <w:sz w:val="20"/>
        </w:rPr>
        <w:t>ralinepago</w:t>
      </w:r>
      <w:proofErr w:type="spellEnd"/>
      <w:r w:rsidRPr="00CF247A">
        <w:rPr>
          <w:rFonts w:ascii="Helvetica" w:hAnsi="Helvetica" w:cs="Times New Roman"/>
          <w:sz w:val="20"/>
        </w:rPr>
        <w:t xml:space="preserve"> dozė, jei taikoma, yra 0,05–1,45 mg per parą.</w:t>
      </w:r>
    </w:p>
    <w:p w14:paraId="60FDDB57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16F5D8DF" w14:textId="0F9594A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21.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>, skirtas PAH gydyti ir (arba) jos profilaktikai pagal bet kurį iš 1–20 punktų, kai gydymo ir (arba) profilaktikos paskirtis – sergamumo PAH ir (arba) mirtingumo nuo PAH rizikos mažinimas.</w:t>
      </w:r>
    </w:p>
    <w:p w14:paraId="4664A0FA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708D9C41" w14:textId="5FA4CFDF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22.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r w:rsidRPr="00CF247A">
        <w:rPr>
          <w:rFonts w:ascii="Helvetica" w:hAnsi="Helvetica" w:cs="Times New Roman"/>
          <w:sz w:val="20"/>
        </w:rPr>
        <w:t xml:space="preserve">Farmacinė kompozicija, skirta PAH gydyti, apimanti </w:t>
      </w:r>
      <w:proofErr w:type="spellStart"/>
      <w:r w:rsidRPr="00CF247A">
        <w:rPr>
          <w:rFonts w:ascii="Helvetica" w:hAnsi="Helvetica" w:cs="Times New Roman"/>
          <w:sz w:val="20"/>
        </w:rPr>
        <w:t>macitentaną</w:t>
      </w:r>
      <w:proofErr w:type="spellEnd"/>
      <w:r w:rsidRPr="00CF247A">
        <w:rPr>
          <w:rFonts w:ascii="Helvetica" w:hAnsi="Helvetica" w:cs="Times New Roman"/>
          <w:sz w:val="20"/>
        </w:rPr>
        <w:t xml:space="preserve"> ir bent jau farmaciniu požiūriu priimtiną pagalbinę medžiagą, kurioje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kiekis yra 75 mg.</w:t>
      </w:r>
    </w:p>
    <w:p w14:paraId="63971341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03B06121" w14:textId="7FA25623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23.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, skirtas PAH gydyti pagal 1 punktą, kai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 xml:space="preserve"> skiriamas farmacine kompozicija, kurioje </w:t>
      </w:r>
      <w:proofErr w:type="spellStart"/>
      <w:r w:rsidRPr="00CF247A">
        <w:rPr>
          <w:rFonts w:ascii="Helvetica" w:hAnsi="Helvetica" w:cs="Times New Roman"/>
          <w:sz w:val="20"/>
        </w:rPr>
        <w:t>macitentano</w:t>
      </w:r>
      <w:proofErr w:type="spellEnd"/>
      <w:r w:rsidRPr="00CF247A">
        <w:rPr>
          <w:rFonts w:ascii="Helvetica" w:hAnsi="Helvetica" w:cs="Times New Roman"/>
          <w:sz w:val="20"/>
        </w:rPr>
        <w:t xml:space="preserve"> kiekis yra 37,5 mg arba 75 mg.</w:t>
      </w:r>
    </w:p>
    <w:p w14:paraId="372AD9BE" w14:textId="77777777" w:rsidR="00CF247A" w:rsidRPr="00CF247A" w:rsidRDefault="00CF247A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</w:p>
    <w:p w14:paraId="208AD7AD" w14:textId="45B67156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24.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r w:rsidRPr="00CF247A">
        <w:rPr>
          <w:rFonts w:ascii="Helvetica" w:hAnsi="Helvetica" w:cs="Times New Roman"/>
          <w:sz w:val="20"/>
        </w:rPr>
        <w:t xml:space="preserve">Farmacinė kompozicija, skirta naudoti pagal 22 punktą, arba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>, skirtas naudoti pagal 23 punktą, kai farmacinė kompozicija apima</w:t>
      </w:r>
    </w:p>
    <w:p w14:paraId="0980D387" w14:textId="006CA4B5" w:rsidR="00C83848" w:rsidRPr="00CF247A" w:rsidRDefault="00C83848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i)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macitentaną</w:t>
      </w:r>
      <w:proofErr w:type="spellEnd"/>
      <w:r w:rsidRPr="00CF247A">
        <w:rPr>
          <w:rFonts w:ascii="Helvetica" w:hAnsi="Helvetica" w:cs="Times New Roman"/>
          <w:sz w:val="20"/>
        </w:rPr>
        <w:t>, kurio bendras kiekis yra 10–50 % visos farmacinės kompozicijos svorio;</w:t>
      </w:r>
    </w:p>
    <w:p w14:paraId="2E3FA70E" w14:textId="4BC67769" w:rsidR="00C83848" w:rsidRPr="00CF247A" w:rsidRDefault="00C83848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ii)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r w:rsidRPr="00CF247A">
        <w:rPr>
          <w:rFonts w:ascii="Helvetica" w:hAnsi="Helvetica" w:cs="Times New Roman"/>
          <w:sz w:val="20"/>
        </w:rPr>
        <w:t xml:space="preserve">užpildą, sudarytą iš laktozės </w:t>
      </w:r>
      <w:proofErr w:type="spellStart"/>
      <w:r w:rsidRPr="00CF247A">
        <w:rPr>
          <w:rFonts w:ascii="Helvetica" w:hAnsi="Helvetica" w:cs="Times New Roman"/>
          <w:sz w:val="20"/>
        </w:rPr>
        <w:t>monohidrato</w:t>
      </w:r>
      <w:proofErr w:type="spellEnd"/>
      <w:r w:rsidRPr="00CF247A">
        <w:rPr>
          <w:rFonts w:ascii="Helvetica" w:hAnsi="Helvetica" w:cs="Times New Roman"/>
          <w:sz w:val="20"/>
        </w:rPr>
        <w:t xml:space="preserve"> su </w:t>
      </w:r>
      <w:proofErr w:type="spellStart"/>
      <w:r w:rsidRPr="00CF247A">
        <w:rPr>
          <w:rFonts w:ascii="Helvetica" w:hAnsi="Helvetica" w:cs="Times New Roman"/>
          <w:sz w:val="20"/>
        </w:rPr>
        <w:t>mikrokristaline</w:t>
      </w:r>
      <w:proofErr w:type="spellEnd"/>
      <w:r w:rsidRPr="00CF247A">
        <w:rPr>
          <w:rFonts w:ascii="Helvetica" w:hAnsi="Helvetica" w:cs="Times New Roman"/>
          <w:sz w:val="20"/>
        </w:rPr>
        <w:t xml:space="preserve"> celiulioze, kurio bendras kiekis yra 10–85 % visos farmacinės kompozicijos svorio;</w:t>
      </w:r>
    </w:p>
    <w:p w14:paraId="5AF882BA" w14:textId="3A4D0331" w:rsidR="00C83848" w:rsidRPr="00CF247A" w:rsidRDefault="00C83848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lastRenderedPageBreak/>
        <w:t>iii)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dezintegrantą</w:t>
      </w:r>
      <w:proofErr w:type="spellEnd"/>
      <w:r w:rsidRPr="00CF247A">
        <w:rPr>
          <w:rFonts w:ascii="Helvetica" w:hAnsi="Helvetica" w:cs="Times New Roman"/>
          <w:sz w:val="20"/>
        </w:rPr>
        <w:t xml:space="preserve">, sudarytą iš natrio krakmolo </w:t>
      </w:r>
      <w:proofErr w:type="spellStart"/>
      <w:r w:rsidRPr="00CF247A">
        <w:rPr>
          <w:rFonts w:ascii="Helvetica" w:hAnsi="Helvetica" w:cs="Times New Roman"/>
          <w:sz w:val="20"/>
        </w:rPr>
        <w:t>glikolato</w:t>
      </w:r>
      <w:proofErr w:type="spellEnd"/>
      <w:r w:rsidRPr="00CF247A">
        <w:rPr>
          <w:rFonts w:ascii="Helvetica" w:hAnsi="Helvetica" w:cs="Times New Roman"/>
          <w:sz w:val="20"/>
        </w:rPr>
        <w:t xml:space="preserve"> arba natrio krakmolo </w:t>
      </w:r>
      <w:proofErr w:type="spellStart"/>
      <w:r w:rsidRPr="00CF247A">
        <w:rPr>
          <w:rFonts w:ascii="Helvetica" w:hAnsi="Helvetica" w:cs="Times New Roman"/>
          <w:sz w:val="20"/>
        </w:rPr>
        <w:t>glikolato</w:t>
      </w:r>
      <w:proofErr w:type="spellEnd"/>
      <w:r w:rsidRPr="00CF247A">
        <w:rPr>
          <w:rFonts w:ascii="Helvetica" w:hAnsi="Helvetica" w:cs="Times New Roman"/>
          <w:sz w:val="20"/>
        </w:rPr>
        <w:t xml:space="preserve"> ir </w:t>
      </w:r>
      <w:proofErr w:type="spellStart"/>
      <w:r w:rsidRPr="00CF247A">
        <w:rPr>
          <w:rFonts w:ascii="Helvetica" w:hAnsi="Helvetica" w:cs="Times New Roman"/>
          <w:sz w:val="20"/>
        </w:rPr>
        <w:t>polivinilpirolidono</w:t>
      </w:r>
      <w:proofErr w:type="spellEnd"/>
      <w:r w:rsidRPr="00CF247A">
        <w:rPr>
          <w:rFonts w:ascii="Helvetica" w:hAnsi="Helvetica" w:cs="Times New Roman"/>
          <w:sz w:val="20"/>
        </w:rPr>
        <w:t xml:space="preserve"> derinio, kurio bendras kiekis yra 1–10 % visos farmacinės kompozicijos svorio;</w:t>
      </w:r>
    </w:p>
    <w:p w14:paraId="0ABBEDB8" w14:textId="3ABD1A4F" w:rsidR="00C83848" w:rsidRPr="00CF247A" w:rsidRDefault="00C83848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iv)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r w:rsidRPr="00CF247A">
        <w:rPr>
          <w:rFonts w:ascii="Helvetica" w:hAnsi="Helvetica" w:cs="Times New Roman"/>
          <w:sz w:val="20"/>
        </w:rPr>
        <w:t xml:space="preserve">paviršinio aktyvumo medžiagą, sudarytą iš </w:t>
      </w:r>
      <w:proofErr w:type="spellStart"/>
      <w:r w:rsidRPr="00CF247A">
        <w:rPr>
          <w:rFonts w:ascii="Helvetica" w:hAnsi="Helvetica" w:cs="Times New Roman"/>
          <w:sz w:val="20"/>
        </w:rPr>
        <w:t>polisorbato</w:t>
      </w:r>
      <w:proofErr w:type="spellEnd"/>
      <w:r w:rsidRPr="00CF247A">
        <w:rPr>
          <w:rFonts w:ascii="Helvetica" w:hAnsi="Helvetica" w:cs="Times New Roman"/>
          <w:sz w:val="20"/>
        </w:rPr>
        <w:t>, kurios bendras kiekis yra 0,1–1 % visos farmacinės kompozicijos svorio; ir</w:t>
      </w:r>
    </w:p>
    <w:p w14:paraId="669B5EA5" w14:textId="6A0572CB" w:rsidR="00C83848" w:rsidRPr="00CF247A" w:rsidRDefault="00C83848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v)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proofErr w:type="spellStart"/>
      <w:r w:rsidRPr="00CF247A">
        <w:rPr>
          <w:rFonts w:ascii="Helvetica" w:hAnsi="Helvetica" w:cs="Times New Roman"/>
          <w:sz w:val="20"/>
        </w:rPr>
        <w:t>lubrikantą</w:t>
      </w:r>
      <w:proofErr w:type="spellEnd"/>
      <w:r w:rsidRPr="00CF247A">
        <w:rPr>
          <w:rFonts w:ascii="Helvetica" w:hAnsi="Helvetica" w:cs="Times New Roman"/>
          <w:sz w:val="20"/>
        </w:rPr>
        <w:t xml:space="preserve">, sudarytą iš magnio </w:t>
      </w:r>
      <w:proofErr w:type="spellStart"/>
      <w:r w:rsidRPr="00CF247A">
        <w:rPr>
          <w:rFonts w:ascii="Helvetica" w:hAnsi="Helvetica" w:cs="Times New Roman"/>
          <w:sz w:val="20"/>
        </w:rPr>
        <w:t>stearato</w:t>
      </w:r>
      <w:proofErr w:type="spellEnd"/>
      <w:r w:rsidRPr="00CF247A">
        <w:rPr>
          <w:rFonts w:ascii="Helvetica" w:hAnsi="Helvetica" w:cs="Times New Roman"/>
          <w:sz w:val="20"/>
        </w:rPr>
        <w:t>, kurio bendras kiekis yra 0,05–5 % visos farmacinės kompozicijos svorio.</w:t>
      </w:r>
    </w:p>
    <w:p w14:paraId="71760626" w14:textId="77777777" w:rsidR="00CF247A" w:rsidRPr="00CF247A" w:rsidRDefault="00CF247A" w:rsidP="00CF247A">
      <w:pPr>
        <w:pStyle w:val="ID00079Claim"/>
        <w:spacing w:after="0"/>
        <w:jc w:val="both"/>
        <w:rPr>
          <w:rFonts w:ascii="Helvetica" w:hAnsi="Helvetica" w:cs="Times New Roman"/>
          <w:sz w:val="20"/>
        </w:rPr>
      </w:pPr>
    </w:p>
    <w:p w14:paraId="718ABF9F" w14:textId="110A734C" w:rsidR="00C83848" w:rsidRPr="00CF247A" w:rsidRDefault="00C83848" w:rsidP="00CF247A">
      <w:pPr>
        <w:pStyle w:val="ID00079Claim"/>
        <w:spacing w:after="0"/>
        <w:ind w:firstLine="567"/>
        <w:jc w:val="both"/>
        <w:rPr>
          <w:rFonts w:ascii="Helvetica" w:hAnsi="Helvetica" w:cs="Times New Roman"/>
          <w:sz w:val="20"/>
        </w:rPr>
      </w:pPr>
      <w:r w:rsidRPr="00CF247A">
        <w:rPr>
          <w:rFonts w:ascii="Helvetica" w:hAnsi="Helvetica" w:cs="Times New Roman"/>
          <w:sz w:val="20"/>
        </w:rPr>
        <w:t>25.</w:t>
      </w:r>
      <w:r w:rsidR="00AD3968" w:rsidRPr="00CF247A">
        <w:rPr>
          <w:rFonts w:ascii="Helvetica" w:hAnsi="Helvetica" w:cs="Times New Roman"/>
          <w:sz w:val="20"/>
        </w:rPr>
        <w:t xml:space="preserve"> </w:t>
      </w:r>
      <w:r w:rsidRPr="00CF247A">
        <w:rPr>
          <w:rFonts w:ascii="Helvetica" w:hAnsi="Helvetica" w:cs="Times New Roman"/>
          <w:sz w:val="20"/>
        </w:rPr>
        <w:t xml:space="preserve">Farmacinė kompozicija, skirta naudoti pagal bet kurį iš 22 arba 24 punktų, arba </w:t>
      </w:r>
      <w:proofErr w:type="spellStart"/>
      <w:r w:rsidRPr="00CF247A">
        <w:rPr>
          <w:rFonts w:ascii="Helvetica" w:hAnsi="Helvetica" w:cs="Times New Roman"/>
          <w:sz w:val="20"/>
        </w:rPr>
        <w:t>macitentanas</w:t>
      </w:r>
      <w:proofErr w:type="spellEnd"/>
      <w:r w:rsidRPr="00CF247A">
        <w:rPr>
          <w:rFonts w:ascii="Helvetica" w:hAnsi="Helvetica" w:cs="Times New Roman"/>
          <w:sz w:val="20"/>
        </w:rPr>
        <w:t>, skirtas naudoti pagal 23 punktą, kai farmacinė kompozicija yra kapsulės arba tabletės pavidalo.</w:t>
      </w:r>
    </w:p>
    <w:sectPr w:rsidR="00C83848" w:rsidRPr="00CF247A" w:rsidSect="00CF247A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2D724" w14:textId="77777777" w:rsidR="005D785C" w:rsidRDefault="005D785C" w:rsidP="00C83848">
      <w:pPr>
        <w:spacing w:after="0" w:line="240" w:lineRule="auto"/>
      </w:pPr>
      <w:r>
        <w:separator/>
      </w:r>
    </w:p>
  </w:endnote>
  <w:endnote w:type="continuationSeparator" w:id="0">
    <w:p w14:paraId="2EDFC6C4" w14:textId="77777777" w:rsidR="005D785C" w:rsidRDefault="005D785C" w:rsidP="00C8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FBC02" w14:textId="77777777" w:rsidR="005D785C" w:rsidRDefault="005D785C" w:rsidP="00C83848">
      <w:pPr>
        <w:spacing w:after="0" w:line="240" w:lineRule="auto"/>
      </w:pPr>
      <w:r>
        <w:separator/>
      </w:r>
    </w:p>
  </w:footnote>
  <w:footnote w:type="continuationSeparator" w:id="0">
    <w:p w14:paraId="5A65E7DD" w14:textId="77777777" w:rsidR="005D785C" w:rsidRDefault="005D785C" w:rsidP="00C8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48"/>
    <w:rsid w:val="000E2B63"/>
    <w:rsid w:val="00500B11"/>
    <w:rsid w:val="005D785C"/>
    <w:rsid w:val="006F2448"/>
    <w:rsid w:val="008109F9"/>
    <w:rsid w:val="00AD3968"/>
    <w:rsid w:val="00C83848"/>
    <w:rsid w:val="00C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55775"/>
  <w15:chartTrackingRefBased/>
  <w15:docId w15:val="{523985DB-6777-4128-97CA-BBC6BF0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C83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8384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83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3848"/>
  </w:style>
  <w:style w:type="paragraph" w:styleId="Porat">
    <w:name w:val="footer"/>
    <w:basedOn w:val="prastasis"/>
    <w:link w:val="PoratDiagrama"/>
    <w:uiPriority w:val="99"/>
    <w:unhideWhenUsed/>
    <w:rsid w:val="00C83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3848"/>
  </w:style>
  <w:style w:type="paragraph" w:customStyle="1" w:styleId="ID00079Claim">
    <w:name w:val="ID00079 Claim"/>
    <w:qFormat/>
    <w:rsid w:val="00C83848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Figure">
    <w:name w:val="ID00079 Figure"/>
    <w:qFormat/>
    <w:rsid w:val="00C83848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Title1">
    <w:name w:val="ID00079 Title 1"/>
    <w:qFormat/>
    <w:rsid w:val="00C83848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 w:val="24"/>
      <w:szCs w:val="24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5059</Characters>
  <Application>Microsoft Office Word</Application>
  <DocSecurity>0</DocSecurity>
  <Lines>99</Lines>
  <Paragraphs>38</Paragraphs>
  <ScaleCrop>false</ScaleCrop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Rasa Gurčytė</cp:lastModifiedBy>
  <cp:revision>5</cp:revision>
  <dcterms:created xsi:type="dcterms:W3CDTF">2024-06-25T16:50:00Z</dcterms:created>
  <dcterms:modified xsi:type="dcterms:W3CDTF">2024-06-28T05:44:00Z</dcterms:modified>
</cp:coreProperties>
</file>