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siejasi su sandarinimo įtaisu (3) branduoliniame reaktoriuje su grafito lėtikliu, aušinamame lengvuoju vandeniu branduoliniame reaktoriuje, susidedančiame iš daugybės kuro kanalų, o kiekvienas kuro kanalas (1) savo viršutinėje dalyje supa kamštį (2). Tarp kanalo (1) ir minėto kamščio yra tarpas (4), o vidinėje kuro kanalo (1) pusėje ir išorinėje kamščio (2) pusėje yra atitinkami sandarinamieji paviršiai. Sandarinimo įtaisas (3) yra įtaisytas tarpe (4) tarp sandarinimo paviršių (14,15) ir gali būti iš vieno ar daugiau žiedinių kūnų, įtaisytų ašies kryptimi vienas po kito ir tiesiogiai susiliečiančių vienas su kitu. Kiekvienas kūnas  yra plastiškai deformuojamas, kad galima būtų paversti ašinę jėgą, gautą per kamštį, į radialinį sandarinimo slėgį, pasiekiant sandarinimo įtaiso (3)hermetizuojantį poveikį. Be to, sandarinimo įtaise bent jau ta jo dalis, kuri yra priešais sandarinamuosius paviršius (14,15), yra monolitinė t.y. padaryta iš vienos ir tos pačios medžiagos. Tokia sandarinimo įtaiso konstrukcija leidžia pagerinti hermetizuojantį poveikį ir neleidžia pablogėti hermetizuojančiam poveikiui po tam tikro skaičiaus kamščio atsukimų ir užsukimų keičiant kuro elementus.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