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automobilių pramonei, tiksliau neįteisinto transporto priemonių naudojimo išvengimo būdams, identifikuojant užkoduotus automobilius.@Šio išradimo tikslas ypatybė yra specialus markiravimo garantija, žymint matomą ir nematomą raidžių-skaičių identifikacinį kodą ir ant pagrindinių automobilio detalių ir mazgų konkrečiose vietose pagal iš anksto sudarytą maršrutinę kortą, transporto priemonės kodą ir maršrutinės kortos numerį įvedant į gamintojo ir kelių kontrolės tarnybų duomenų banką, o transporto priemonės savinikui išduodant taloną (oficialų dokumentą) apie jo automobilio užkodavimą pagal iš anksto sudarytą maršrutinę kortą. Be, to į šį taloną įrašomi duomenys apie identifikacinio kodo ir žymejimo technologiją, kurie gali būti naudojami identifikuojant transporto priemones.@Kita išradimo ypatybė numato transporto priemonės savininkui galimybę savarankiškai nustatyti papildomą identifikacinį kodą ir papildomas jo išdėstymo vietas, kurių duomenys įvedami į duomenų bankus.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