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automotive industry, preferably to identification methods of coded automobiles.
The peculiarity of this invention is a quarantee of a special notation, 
marking a identification code of a visible and invisible letters-numbers on the basic parts and units of an automobile in  specific places according to a preliminary travel chart. The code of the vehicle and the number of the travel chart are included into the database of the producer and the traffic department. An official document about coding of the vehicle according to the preliminary travel chart is given to the proprietor of the vehicle. That document holds data on  producing of the identification code and  marking technology, which can be used for identification of vehicles. The invention characterizes in that the proprietor of the vehicle can independently define an additional identification code and additional places for disposing of it, these data being included into the database.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