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899C" w14:textId="7BB7803D" w:rsidR="001D4355" w:rsidRPr="00EB2C7D" w:rsidRDefault="00B70727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1. </w:t>
      </w:r>
      <w:r w:rsidR="00742F4F" w:rsidRPr="00EB2C7D">
        <w:rPr>
          <w:rFonts w:ascii="Helvetica" w:hAnsi="Helvetica" w:cs="Arial"/>
          <w:sz w:val="20"/>
          <w:lang w:val="lt-LT"/>
        </w:rPr>
        <w:t xml:space="preserve">Farmacinė kompozicija, apimanti antikūną, kuris specifiškai </w:t>
      </w:r>
      <w:r w:rsidR="003179E0" w:rsidRPr="00EB2C7D">
        <w:rPr>
          <w:rFonts w:ascii="Helvetica" w:hAnsi="Helvetica" w:cs="Arial"/>
          <w:sz w:val="20"/>
          <w:lang w:val="lt-LT"/>
        </w:rPr>
        <w:t>riš</w:t>
      </w:r>
      <w:r w:rsidR="00742F4F" w:rsidRPr="00EB2C7D">
        <w:rPr>
          <w:rFonts w:ascii="Helvetica" w:hAnsi="Helvetica" w:cs="Arial"/>
          <w:sz w:val="20"/>
          <w:lang w:val="lt-LT"/>
        </w:rPr>
        <w:t xml:space="preserve">asi prie pro/latentinio </w:t>
      </w:r>
      <w:proofErr w:type="spellStart"/>
      <w:r w:rsidR="00742F4F" w:rsidRPr="00EB2C7D">
        <w:rPr>
          <w:rFonts w:ascii="Helvetica" w:hAnsi="Helvetica" w:cs="Arial"/>
          <w:sz w:val="20"/>
          <w:lang w:val="lt-LT"/>
        </w:rPr>
        <w:t>miostatino</w:t>
      </w:r>
      <w:proofErr w:type="spellEnd"/>
      <w:r w:rsidR="00742F4F" w:rsidRPr="00EB2C7D">
        <w:rPr>
          <w:rFonts w:ascii="Helvetica" w:hAnsi="Helvetica" w:cs="Arial"/>
          <w:sz w:val="20"/>
          <w:lang w:val="lt-LT"/>
        </w:rPr>
        <w:t xml:space="preserve">, ir </w:t>
      </w:r>
      <w:r w:rsidR="003179E0" w:rsidRPr="00EB2C7D">
        <w:rPr>
          <w:rFonts w:ascii="Helvetica" w:hAnsi="Helvetica" w:cs="Arial"/>
          <w:sz w:val="20"/>
          <w:lang w:val="lt-LT"/>
        </w:rPr>
        <w:t>farmaciniu požiūriu</w:t>
      </w:r>
      <w:r w:rsidR="00742F4F" w:rsidRPr="00EB2C7D">
        <w:rPr>
          <w:rFonts w:ascii="Helvetica" w:hAnsi="Helvetica" w:cs="Arial"/>
          <w:sz w:val="20"/>
          <w:lang w:val="lt-LT"/>
        </w:rPr>
        <w:t xml:space="preserve"> priimtiną nešiklį, kur antikūnas apima sunkiosios grandinės kintamą sritį, kuri yra </w:t>
      </w:r>
      <w:r w:rsidR="003179E0" w:rsidRPr="00EB2C7D">
        <w:rPr>
          <w:rFonts w:ascii="Helvetica" w:hAnsi="Helvetica" w:cs="Arial"/>
          <w:sz w:val="20"/>
          <w:lang w:val="lt-LT"/>
        </w:rPr>
        <w:t>mažiausiai</w:t>
      </w:r>
      <w:r w:rsidR="00742F4F" w:rsidRPr="00EB2C7D">
        <w:rPr>
          <w:rFonts w:ascii="Helvetica" w:hAnsi="Helvetica" w:cs="Arial"/>
          <w:sz w:val="20"/>
          <w:lang w:val="lt-LT"/>
        </w:rPr>
        <w:t xml:space="preserve"> 98 % </w:t>
      </w:r>
      <w:r w:rsidR="003179E0" w:rsidRPr="00EB2C7D">
        <w:rPr>
          <w:rFonts w:ascii="Helvetica" w:hAnsi="Helvetica" w:cs="Arial"/>
          <w:sz w:val="20"/>
          <w:lang w:val="lt-LT"/>
        </w:rPr>
        <w:t>identiška</w:t>
      </w:r>
      <w:r w:rsidR="00742F4F" w:rsidRPr="00EB2C7D">
        <w:rPr>
          <w:rFonts w:ascii="Helvetica" w:hAnsi="Helvetica" w:cs="Arial"/>
          <w:sz w:val="20"/>
          <w:lang w:val="lt-LT"/>
        </w:rPr>
        <w:t xml:space="preserve"> aminorūgščių sekai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="00742F4F" w:rsidRPr="00EB2C7D">
        <w:rPr>
          <w:rFonts w:ascii="Helvetica" w:hAnsi="Helvetica" w:cs="Arial"/>
          <w:sz w:val="20"/>
          <w:lang w:val="lt-LT"/>
        </w:rPr>
        <w:t xml:space="preserve"> 25, ir lengvosios grandinės kintamą sritį, kuri yra </w:t>
      </w:r>
      <w:r w:rsidR="003179E0" w:rsidRPr="00EB2C7D">
        <w:rPr>
          <w:rFonts w:ascii="Helvetica" w:hAnsi="Helvetica" w:cs="Arial"/>
          <w:sz w:val="20"/>
          <w:lang w:val="lt-LT"/>
        </w:rPr>
        <w:t>mažiausiai</w:t>
      </w:r>
      <w:r w:rsidR="00742F4F" w:rsidRPr="00EB2C7D">
        <w:rPr>
          <w:rFonts w:ascii="Helvetica" w:hAnsi="Helvetica" w:cs="Arial"/>
          <w:sz w:val="20"/>
          <w:lang w:val="lt-LT"/>
        </w:rPr>
        <w:t xml:space="preserve"> 98 % identiška aminorūgščių sekai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="00742F4F" w:rsidRPr="00EB2C7D">
        <w:rPr>
          <w:rFonts w:ascii="Helvetica" w:hAnsi="Helvetica" w:cs="Arial"/>
          <w:sz w:val="20"/>
          <w:lang w:val="lt-LT"/>
        </w:rPr>
        <w:t xml:space="preserve"> 31, ir kur antikūnas apima šeši</w:t>
      </w:r>
      <w:r w:rsidR="003179E0" w:rsidRPr="00EB2C7D">
        <w:rPr>
          <w:rFonts w:ascii="Helvetica" w:hAnsi="Helvetica" w:cs="Arial"/>
          <w:sz w:val="20"/>
          <w:lang w:val="lt-LT"/>
        </w:rPr>
        <w:t>a</w:t>
      </w:r>
      <w:r w:rsidR="00742F4F" w:rsidRPr="00EB2C7D">
        <w:rPr>
          <w:rFonts w:ascii="Helvetica" w:hAnsi="Helvetica" w:cs="Arial"/>
          <w:sz w:val="20"/>
          <w:lang w:val="lt-LT"/>
        </w:rPr>
        <w:t xml:space="preserve">s </w:t>
      </w:r>
      <w:proofErr w:type="spellStart"/>
      <w:r w:rsidR="00742F4F" w:rsidRPr="00EB2C7D">
        <w:rPr>
          <w:rFonts w:ascii="Helvetica" w:hAnsi="Helvetica" w:cs="Arial"/>
          <w:sz w:val="20"/>
          <w:lang w:val="lt-LT"/>
        </w:rPr>
        <w:t>komplementarumą</w:t>
      </w:r>
      <w:proofErr w:type="spellEnd"/>
      <w:r w:rsidR="00742F4F" w:rsidRPr="00EB2C7D">
        <w:rPr>
          <w:rFonts w:ascii="Helvetica" w:hAnsi="Helvetica" w:cs="Arial"/>
          <w:sz w:val="20"/>
          <w:lang w:val="lt-LT"/>
        </w:rPr>
        <w:t xml:space="preserve"> lemianči</w:t>
      </w:r>
      <w:r w:rsidR="003179E0" w:rsidRPr="00EB2C7D">
        <w:rPr>
          <w:rFonts w:ascii="Helvetica" w:hAnsi="Helvetica" w:cs="Arial"/>
          <w:sz w:val="20"/>
          <w:lang w:val="lt-LT"/>
        </w:rPr>
        <w:t>a</w:t>
      </w:r>
      <w:r w:rsidR="00742F4F" w:rsidRPr="00EB2C7D">
        <w:rPr>
          <w:rFonts w:ascii="Helvetica" w:hAnsi="Helvetica" w:cs="Arial"/>
          <w:sz w:val="20"/>
          <w:lang w:val="lt-LT"/>
        </w:rPr>
        <w:t xml:space="preserve">s </w:t>
      </w:r>
      <w:r w:rsidR="003179E0" w:rsidRPr="00EB2C7D">
        <w:rPr>
          <w:rFonts w:ascii="Helvetica" w:hAnsi="Helvetica" w:cs="Arial"/>
          <w:sz w:val="20"/>
          <w:lang w:val="lt-LT"/>
        </w:rPr>
        <w:t>sritis</w:t>
      </w:r>
      <w:r w:rsidR="00742F4F" w:rsidRPr="00EB2C7D">
        <w:rPr>
          <w:rFonts w:ascii="Helvetica" w:hAnsi="Helvetica" w:cs="Arial"/>
          <w:sz w:val="20"/>
          <w:lang w:val="lt-LT"/>
        </w:rPr>
        <w:t xml:space="preserve"> (CDR): CDRH1, CDRH2, CDRH3, CDRL1, CDRL2 ir CDRL3, kur </w:t>
      </w:r>
    </w:p>
    <w:p w14:paraId="1A347002" w14:textId="0069CBE8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CDRH1 apima seką, nurodytą</w:t>
      </w:r>
      <w:r w:rsidR="003179E0" w:rsidRPr="00EB2C7D">
        <w:rPr>
          <w:rFonts w:ascii="Helvetica" w:hAnsi="Helvetica" w:cs="Arial"/>
          <w:sz w:val="20"/>
          <w:lang w:val="lt-LT"/>
        </w:rPr>
        <w:t xml:space="preserve"> kaip</w:t>
      </w:r>
      <w:r w:rsidRPr="00EB2C7D">
        <w:rPr>
          <w:rFonts w:ascii="Helvetica" w:hAnsi="Helvetica" w:cs="Arial"/>
          <w:sz w:val="20"/>
          <w:lang w:val="lt-LT"/>
        </w:rPr>
        <w:t xml:space="preserve">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1 arba 2;</w:t>
      </w:r>
    </w:p>
    <w:p w14:paraId="68B9C2EF" w14:textId="43A7B0BA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CDRH2 apima seką, kaip nurodyta </w:t>
      </w:r>
      <w:r w:rsidR="003179E0" w:rsidRPr="00EB2C7D">
        <w:rPr>
          <w:rFonts w:ascii="Helvetica" w:hAnsi="Helvetica" w:cs="Arial"/>
          <w:sz w:val="20"/>
          <w:lang w:val="lt-LT"/>
        </w:rPr>
        <w:t xml:space="preserve">kaip </w:t>
      </w:r>
      <w:r w:rsidRPr="00EB2C7D">
        <w:rPr>
          <w:rFonts w:ascii="Helvetica" w:hAnsi="Helvetica" w:cs="Arial"/>
          <w:sz w:val="20"/>
          <w:lang w:val="lt-LT"/>
        </w:rPr>
        <w:t>SEQ ID Nr. 4 arba 5;</w:t>
      </w:r>
    </w:p>
    <w:p w14:paraId="39782C3B" w14:textId="1333B5ED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CDRH3 apima seką, kaip nurodyta </w:t>
      </w:r>
      <w:r w:rsidR="003179E0" w:rsidRPr="00EB2C7D">
        <w:rPr>
          <w:rFonts w:ascii="Helvetica" w:hAnsi="Helvetica" w:cs="Arial"/>
          <w:sz w:val="20"/>
          <w:lang w:val="lt-LT"/>
        </w:rPr>
        <w:t xml:space="preserve">kaip </w:t>
      </w:r>
      <w:r w:rsidRPr="00EB2C7D">
        <w:rPr>
          <w:rFonts w:ascii="Helvetica" w:hAnsi="Helvetica" w:cs="Arial"/>
          <w:sz w:val="20"/>
          <w:lang w:val="lt-LT"/>
        </w:rPr>
        <w:t>SEQ ID Nr. 10;</w:t>
      </w:r>
    </w:p>
    <w:p w14:paraId="5245B25E" w14:textId="41D6FD38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CDRL1 apima seką, kaip nurodyta </w:t>
      </w:r>
      <w:r w:rsidR="003179E0" w:rsidRPr="00EB2C7D">
        <w:rPr>
          <w:rFonts w:ascii="Helvetica" w:hAnsi="Helvetica" w:cs="Arial"/>
          <w:sz w:val="20"/>
          <w:lang w:val="lt-LT"/>
        </w:rPr>
        <w:t xml:space="preserve">kaip </w:t>
      </w:r>
      <w:r w:rsidRPr="00EB2C7D">
        <w:rPr>
          <w:rFonts w:ascii="Helvetica" w:hAnsi="Helvetica" w:cs="Arial"/>
          <w:sz w:val="20"/>
          <w:lang w:val="lt-LT"/>
        </w:rPr>
        <w:t>SEQ ID Nr. 12 arba 13;</w:t>
      </w:r>
    </w:p>
    <w:p w14:paraId="56D89F4E" w14:textId="6FBD290E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CDRL2 apima seką, nurodytą </w:t>
      </w:r>
      <w:r w:rsidR="003179E0" w:rsidRPr="00EB2C7D">
        <w:rPr>
          <w:rFonts w:ascii="Helvetica" w:hAnsi="Helvetica" w:cs="Arial"/>
          <w:sz w:val="20"/>
          <w:lang w:val="lt-LT"/>
        </w:rPr>
        <w:t xml:space="preserve">kaip </w:t>
      </w:r>
      <w:r w:rsidRPr="00EB2C7D">
        <w:rPr>
          <w:rFonts w:ascii="Helvetica" w:hAnsi="Helvetica" w:cs="Arial"/>
          <w:sz w:val="20"/>
          <w:lang w:val="lt-LT"/>
        </w:rPr>
        <w:t>SEQ ID Nr. 18 arba 19; ir</w:t>
      </w:r>
    </w:p>
    <w:p w14:paraId="4F646766" w14:textId="46DCE483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CDRL3 apima seką, nurodytą </w:t>
      </w:r>
      <w:r w:rsidR="003179E0" w:rsidRPr="00EB2C7D">
        <w:rPr>
          <w:rFonts w:ascii="Helvetica" w:hAnsi="Helvetica" w:cs="Arial"/>
          <w:sz w:val="20"/>
          <w:lang w:val="lt-LT"/>
        </w:rPr>
        <w:t xml:space="preserve">kaip </w:t>
      </w:r>
      <w:r w:rsidRPr="00EB2C7D">
        <w:rPr>
          <w:rFonts w:ascii="Helvetica" w:hAnsi="Helvetica" w:cs="Arial"/>
          <w:sz w:val="20"/>
          <w:lang w:val="lt-LT"/>
        </w:rPr>
        <w:t>SEQ ID Nr. 22.</w:t>
      </w:r>
    </w:p>
    <w:p w14:paraId="715F96B8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DA8C72" w14:textId="23375B1F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2.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>Farmacinė kompozicija pagal 1 punktą, kur antikūnas yra žmogaus antikūnas.</w:t>
      </w:r>
    </w:p>
    <w:p w14:paraId="15FAFEE6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A28B5B" w14:textId="7C9C88E7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3.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="003179E0" w:rsidRPr="00EB2C7D">
        <w:rPr>
          <w:rFonts w:ascii="Helvetica" w:hAnsi="Helvetica" w:cs="Arial"/>
          <w:sz w:val="20"/>
          <w:lang w:val="lt-LT"/>
        </w:rPr>
        <w:t xml:space="preserve">Farmacinė kompozicija pagal </w:t>
      </w:r>
      <w:r w:rsidRPr="00EB2C7D">
        <w:rPr>
          <w:rFonts w:ascii="Helvetica" w:hAnsi="Helvetica" w:cs="Arial"/>
          <w:sz w:val="20"/>
          <w:lang w:val="lt-LT"/>
        </w:rPr>
        <w:t>1 arba 2 punkt</w:t>
      </w:r>
      <w:r w:rsidR="003179E0" w:rsidRPr="00EB2C7D">
        <w:rPr>
          <w:rFonts w:ascii="Helvetica" w:hAnsi="Helvetica" w:cs="Arial"/>
          <w:sz w:val="20"/>
          <w:lang w:val="lt-LT"/>
        </w:rPr>
        <w:t>ą</w:t>
      </w:r>
      <w:r w:rsidRPr="00EB2C7D">
        <w:rPr>
          <w:rFonts w:ascii="Helvetica" w:hAnsi="Helvetica" w:cs="Arial"/>
          <w:sz w:val="20"/>
          <w:lang w:val="lt-LT"/>
        </w:rPr>
        <w:t>, kur antikūnas apima IgG</w:t>
      </w:r>
      <w:r w:rsidR="003179E0" w:rsidRPr="00EB2C7D">
        <w:rPr>
          <w:rFonts w:ascii="Helvetica" w:hAnsi="Helvetica" w:cs="Arial"/>
          <w:sz w:val="20"/>
          <w:vertAlign w:val="subscript"/>
          <w:lang w:val="lt-LT"/>
        </w:rPr>
        <w:t>4</w:t>
      </w:r>
      <w:r w:rsidRPr="00EB2C7D">
        <w:rPr>
          <w:rFonts w:ascii="Helvetica" w:hAnsi="Helvetica" w:cs="Arial"/>
          <w:sz w:val="20"/>
          <w:lang w:val="lt-LT"/>
        </w:rPr>
        <w:t xml:space="preserve"> </w:t>
      </w:r>
      <w:r w:rsidR="003179E0" w:rsidRPr="00EB2C7D">
        <w:rPr>
          <w:rFonts w:ascii="Helvetica" w:hAnsi="Helvetica" w:cs="Arial"/>
          <w:sz w:val="20"/>
          <w:lang w:val="lt-LT"/>
        </w:rPr>
        <w:t>pastovųjį</w:t>
      </w:r>
      <w:r w:rsidRPr="00EB2C7D">
        <w:rPr>
          <w:rFonts w:ascii="Helvetica" w:hAnsi="Helvetica" w:cs="Arial"/>
          <w:sz w:val="20"/>
          <w:lang w:val="lt-LT"/>
        </w:rPr>
        <w:t xml:space="preserve"> domeną.</w:t>
      </w:r>
    </w:p>
    <w:p w14:paraId="03782CF1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88BE3A" w14:textId="75E30E01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4.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 pagal 3 punktą, kur </w:t>
      </w:r>
      <w:r w:rsidR="003179E0" w:rsidRPr="00EB2C7D">
        <w:rPr>
          <w:rFonts w:ascii="Helvetica" w:hAnsi="Helvetica" w:cs="Arial"/>
          <w:sz w:val="20"/>
          <w:lang w:val="lt-LT"/>
        </w:rPr>
        <w:t>IgG</w:t>
      </w:r>
      <w:r w:rsidR="003179E0" w:rsidRPr="00EB2C7D">
        <w:rPr>
          <w:rFonts w:ascii="Helvetica" w:hAnsi="Helvetica" w:cs="Arial"/>
          <w:sz w:val="20"/>
          <w:vertAlign w:val="subscript"/>
          <w:lang w:val="lt-LT"/>
        </w:rPr>
        <w:t>4</w:t>
      </w:r>
      <w:r w:rsidR="003179E0" w:rsidRPr="00EB2C7D">
        <w:rPr>
          <w:rFonts w:ascii="Helvetica" w:hAnsi="Helvetica" w:cs="Arial"/>
          <w:sz w:val="20"/>
          <w:lang w:val="lt-LT"/>
        </w:rPr>
        <w:t xml:space="preserve"> pastovusis</w:t>
      </w:r>
      <w:r w:rsidRPr="00EB2C7D">
        <w:rPr>
          <w:rFonts w:ascii="Helvetica" w:hAnsi="Helvetica" w:cs="Arial"/>
          <w:sz w:val="20"/>
          <w:lang w:val="lt-LT"/>
        </w:rPr>
        <w:t xml:space="preserve"> domenas turi pagrindinės grandinės pakeitimą iš </w:t>
      </w:r>
      <w:proofErr w:type="spellStart"/>
      <w:r w:rsidRPr="00EB2C7D">
        <w:rPr>
          <w:rFonts w:ascii="Helvetica" w:hAnsi="Helvetica" w:cs="Arial"/>
          <w:sz w:val="20"/>
          <w:lang w:val="lt-LT"/>
        </w:rPr>
        <w:t>Ser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į Pro, kuris sukuria </w:t>
      </w:r>
      <w:r w:rsidR="00DA124C" w:rsidRPr="00EB2C7D">
        <w:rPr>
          <w:rFonts w:ascii="Helvetica" w:hAnsi="Helvetica" w:cs="Arial"/>
          <w:sz w:val="20"/>
          <w:lang w:val="lt-LT"/>
        </w:rPr>
        <w:t>IgG</w:t>
      </w:r>
      <w:r w:rsidR="00DA124C" w:rsidRPr="00EB2C7D">
        <w:rPr>
          <w:rFonts w:ascii="Helvetica" w:hAnsi="Helvetica" w:cs="Arial"/>
          <w:sz w:val="20"/>
          <w:vertAlign w:val="subscript"/>
          <w:lang w:val="lt-LT"/>
        </w:rPr>
        <w:t>1</w:t>
      </w:r>
      <w:r w:rsidRPr="00EB2C7D">
        <w:rPr>
          <w:rFonts w:ascii="Helvetica" w:hAnsi="Helvetica" w:cs="Arial"/>
          <w:sz w:val="20"/>
          <w:lang w:val="lt-LT"/>
        </w:rPr>
        <w:t xml:space="preserve"> tipo </w:t>
      </w:r>
      <w:r w:rsidR="00DA124C" w:rsidRPr="00EB2C7D">
        <w:rPr>
          <w:rFonts w:ascii="Helvetica" w:hAnsi="Helvetica" w:cs="Arial"/>
          <w:sz w:val="20"/>
          <w:lang w:val="lt-LT"/>
        </w:rPr>
        <w:t>lankstą</w:t>
      </w:r>
      <w:r w:rsidRPr="00EB2C7D">
        <w:rPr>
          <w:rFonts w:ascii="Helvetica" w:hAnsi="Helvetica" w:cs="Arial"/>
          <w:sz w:val="20"/>
          <w:lang w:val="lt-LT"/>
        </w:rPr>
        <w:t xml:space="preserve"> ir </w:t>
      </w:r>
      <w:r w:rsidR="00DA124C" w:rsidRPr="00EB2C7D">
        <w:rPr>
          <w:rFonts w:ascii="Helvetica" w:hAnsi="Helvetica" w:cs="Arial"/>
          <w:sz w:val="20"/>
          <w:lang w:val="lt-LT"/>
        </w:rPr>
        <w:t>sudaro sąlygas</w:t>
      </w:r>
      <w:r w:rsidRPr="00EB2C7D">
        <w:rPr>
          <w:rFonts w:ascii="Helvetica" w:hAnsi="Helvetica" w:cs="Arial"/>
          <w:sz w:val="20"/>
          <w:lang w:val="lt-LT"/>
        </w:rPr>
        <w:t xml:space="preserve"> susi</w:t>
      </w:r>
      <w:r w:rsidR="00DA124C" w:rsidRPr="00EB2C7D">
        <w:rPr>
          <w:rFonts w:ascii="Helvetica" w:hAnsi="Helvetica" w:cs="Arial"/>
          <w:sz w:val="20"/>
          <w:lang w:val="lt-LT"/>
        </w:rPr>
        <w:t>formuoti</w:t>
      </w:r>
      <w:r w:rsidRPr="00EB2C7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B2C7D">
        <w:rPr>
          <w:rFonts w:ascii="Helvetica" w:hAnsi="Helvetica" w:cs="Arial"/>
          <w:sz w:val="20"/>
          <w:lang w:val="lt-LT"/>
        </w:rPr>
        <w:t>tarpgrandinėms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B2C7D">
        <w:rPr>
          <w:rFonts w:ascii="Helvetica" w:hAnsi="Helvetica" w:cs="Arial"/>
          <w:sz w:val="20"/>
          <w:lang w:val="lt-LT"/>
        </w:rPr>
        <w:t>disulfidinėms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jungtims.</w:t>
      </w:r>
    </w:p>
    <w:p w14:paraId="1EFB283E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19AEEA" w14:textId="6A5F711D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5.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 pagal bet kurį </w:t>
      </w:r>
      <w:r w:rsidR="00DA124C" w:rsidRPr="00EB2C7D">
        <w:rPr>
          <w:rFonts w:ascii="Helvetica" w:hAnsi="Helvetica" w:cs="Arial"/>
          <w:sz w:val="20"/>
          <w:lang w:val="lt-LT"/>
        </w:rPr>
        <w:t xml:space="preserve">vieną </w:t>
      </w:r>
      <w:r w:rsidRPr="00EB2C7D">
        <w:rPr>
          <w:rFonts w:ascii="Helvetica" w:hAnsi="Helvetica" w:cs="Arial"/>
          <w:sz w:val="20"/>
          <w:lang w:val="lt-LT"/>
        </w:rPr>
        <w:t>iš 1–4 punktų, kur lengvosios grandinės kintam</w:t>
      </w:r>
      <w:r w:rsidR="00DA124C" w:rsidRPr="00EB2C7D">
        <w:rPr>
          <w:rFonts w:ascii="Helvetica" w:hAnsi="Helvetica" w:cs="Arial"/>
          <w:sz w:val="20"/>
          <w:lang w:val="lt-LT"/>
        </w:rPr>
        <w:t>a</w:t>
      </w:r>
      <w:r w:rsidRPr="00EB2C7D">
        <w:rPr>
          <w:rFonts w:ascii="Helvetica" w:hAnsi="Helvetica" w:cs="Arial"/>
          <w:sz w:val="20"/>
          <w:lang w:val="lt-LT"/>
        </w:rPr>
        <w:t xml:space="preserve"> sritis yra prijungta </w:t>
      </w:r>
      <w:r w:rsidR="00DA124C" w:rsidRPr="00EB2C7D">
        <w:rPr>
          <w:rFonts w:ascii="Helvetica" w:hAnsi="Helvetica" w:cs="Arial"/>
          <w:sz w:val="20"/>
          <w:lang w:val="lt-LT"/>
        </w:rPr>
        <w:t>per</w:t>
      </w:r>
      <w:r w:rsidRPr="00EB2C7D">
        <w:rPr>
          <w:rFonts w:ascii="Helvetica" w:hAnsi="Helvetica" w:cs="Arial"/>
          <w:sz w:val="20"/>
          <w:lang w:val="lt-LT"/>
        </w:rPr>
        <w:t xml:space="preserve"> C</w:t>
      </w:r>
      <w:r w:rsidR="00DA124C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>gal</w:t>
      </w:r>
      <w:r w:rsidR="00DA124C" w:rsidRPr="00EB2C7D">
        <w:rPr>
          <w:rFonts w:ascii="Helvetica" w:hAnsi="Helvetica" w:cs="Arial"/>
          <w:sz w:val="20"/>
          <w:lang w:val="lt-LT"/>
        </w:rPr>
        <w:t>ą prie</w:t>
      </w:r>
      <w:r w:rsidRPr="00EB2C7D">
        <w:rPr>
          <w:rFonts w:ascii="Helvetica" w:hAnsi="Helvetica" w:cs="Arial"/>
          <w:sz w:val="20"/>
          <w:lang w:val="lt-LT"/>
        </w:rPr>
        <w:t xml:space="preserve"> lengvosios grandinės pastovio</w:t>
      </w:r>
      <w:r w:rsidR="00DA124C" w:rsidRPr="00EB2C7D">
        <w:rPr>
          <w:rFonts w:ascii="Helvetica" w:hAnsi="Helvetica" w:cs="Arial"/>
          <w:sz w:val="20"/>
          <w:lang w:val="lt-LT"/>
        </w:rPr>
        <w:t>jo domeno</w:t>
      </w:r>
      <w:r w:rsidRPr="00EB2C7D">
        <w:rPr>
          <w:rFonts w:ascii="Helvetica" w:hAnsi="Helvetica" w:cs="Arial"/>
          <w:sz w:val="20"/>
          <w:lang w:val="lt-LT"/>
        </w:rPr>
        <w:t>.</w:t>
      </w:r>
    </w:p>
    <w:p w14:paraId="4386D696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FB55A9" w14:textId="72A0C9C4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6.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>Farmacinė kompozicija pagal bet kurį</w:t>
      </w:r>
      <w:r w:rsidR="00DA124C" w:rsidRPr="00EB2C7D">
        <w:rPr>
          <w:rFonts w:ascii="Helvetica" w:hAnsi="Helvetica" w:cs="Arial"/>
          <w:sz w:val="20"/>
          <w:lang w:val="lt-LT"/>
        </w:rPr>
        <w:t xml:space="preserve"> vieną</w:t>
      </w:r>
      <w:r w:rsidRPr="00EB2C7D">
        <w:rPr>
          <w:rFonts w:ascii="Helvetica" w:hAnsi="Helvetica" w:cs="Arial"/>
          <w:sz w:val="20"/>
          <w:lang w:val="lt-LT"/>
        </w:rPr>
        <w:t xml:space="preserve"> iš 1–5 punktų, kur antikūnas apima sunkiąją grandinę, apimančią aminorūgščių seką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50, kur N</w:t>
      </w:r>
      <w:r w:rsidR="00DA124C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>gal</w:t>
      </w:r>
      <w:r w:rsidR="00DA124C" w:rsidRPr="00EB2C7D">
        <w:rPr>
          <w:rFonts w:ascii="Helvetica" w:hAnsi="Helvetica" w:cs="Arial"/>
          <w:sz w:val="20"/>
          <w:lang w:val="lt-LT"/>
        </w:rPr>
        <w:t>e</w:t>
      </w:r>
      <w:r w:rsidRPr="00EB2C7D">
        <w:rPr>
          <w:rFonts w:ascii="Helvetica" w:hAnsi="Helvetica" w:cs="Arial"/>
          <w:sz w:val="20"/>
          <w:lang w:val="lt-LT"/>
        </w:rPr>
        <w:t xml:space="preserve"> Q yra </w:t>
      </w:r>
      <w:proofErr w:type="spellStart"/>
      <w:r w:rsidRPr="00EB2C7D">
        <w:rPr>
          <w:rFonts w:ascii="Helvetica" w:hAnsi="Helvetica" w:cs="Arial"/>
          <w:sz w:val="20"/>
          <w:lang w:val="lt-LT"/>
        </w:rPr>
        <w:t>piroglutamo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rūgšties liekana, ir lengvąją grandinę, apimančią aminorūgščių seką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51, kur N</w:t>
      </w:r>
      <w:r w:rsidR="00DA124C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>gal</w:t>
      </w:r>
      <w:r w:rsidR="00DA124C" w:rsidRPr="00EB2C7D">
        <w:rPr>
          <w:rFonts w:ascii="Helvetica" w:hAnsi="Helvetica" w:cs="Arial"/>
          <w:sz w:val="20"/>
          <w:lang w:val="lt-LT"/>
        </w:rPr>
        <w:t>e</w:t>
      </w:r>
      <w:r w:rsidRPr="00EB2C7D">
        <w:rPr>
          <w:rFonts w:ascii="Helvetica" w:hAnsi="Helvetica" w:cs="Arial"/>
          <w:sz w:val="20"/>
          <w:lang w:val="lt-LT"/>
        </w:rPr>
        <w:t xml:space="preserve"> Q yra </w:t>
      </w:r>
      <w:proofErr w:type="spellStart"/>
      <w:r w:rsidRPr="00EB2C7D">
        <w:rPr>
          <w:rFonts w:ascii="Helvetica" w:hAnsi="Helvetica" w:cs="Arial"/>
          <w:sz w:val="20"/>
          <w:lang w:val="lt-LT"/>
        </w:rPr>
        <w:t>piroglutamo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rūgšties liekana.</w:t>
      </w:r>
    </w:p>
    <w:p w14:paraId="0ADFEA06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F9F80A" w14:textId="01E0F201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lastRenderedPageBreak/>
        <w:t>7.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 pagal bet kurį </w:t>
      </w:r>
      <w:r w:rsidR="00DA124C" w:rsidRPr="00EB2C7D">
        <w:rPr>
          <w:rFonts w:ascii="Helvetica" w:hAnsi="Helvetica" w:cs="Arial"/>
          <w:sz w:val="20"/>
          <w:lang w:val="lt-LT"/>
        </w:rPr>
        <w:t xml:space="preserve">vieną </w:t>
      </w:r>
      <w:r w:rsidRPr="00EB2C7D">
        <w:rPr>
          <w:rFonts w:ascii="Helvetica" w:hAnsi="Helvetica" w:cs="Arial"/>
          <w:sz w:val="20"/>
          <w:lang w:val="lt-LT"/>
        </w:rPr>
        <w:t xml:space="preserve">iš 1–6 punktų, kur kompozicija yra: (i) </w:t>
      </w:r>
      <w:proofErr w:type="spellStart"/>
      <w:r w:rsidRPr="00EB2C7D">
        <w:rPr>
          <w:rFonts w:ascii="Helvetica" w:hAnsi="Helvetica" w:cs="Arial"/>
          <w:sz w:val="20"/>
          <w:lang w:val="lt-LT"/>
        </w:rPr>
        <w:t>liofilizuota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kompozicija, (ii) skysta kompozicija arba (iii) užšaldyta.</w:t>
      </w:r>
    </w:p>
    <w:p w14:paraId="0EF76D05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8F273C" w14:textId="308A17B2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8.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="00DA124C" w:rsidRPr="00EB2C7D">
        <w:rPr>
          <w:rFonts w:ascii="Helvetica" w:hAnsi="Helvetica" w:cs="Arial"/>
          <w:sz w:val="20"/>
          <w:lang w:val="lt-LT"/>
        </w:rPr>
        <w:t xml:space="preserve">Farmacinė kompozicija pagal </w:t>
      </w:r>
      <w:r w:rsidRPr="00EB2C7D">
        <w:rPr>
          <w:rFonts w:ascii="Helvetica" w:hAnsi="Helvetica" w:cs="Arial"/>
          <w:sz w:val="20"/>
          <w:lang w:val="lt-LT"/>
        </w:rPr>
        <w:t>7(iii) punkt</w:t>
      </w:r>
      <w:r w:rsidR="00DA124C" w:rsidRPr="00EB2C7D">
        <w:rPr>
          <w:rFonts w:ascii="Helvetica" w:hAnsi="Helvetica" w:cs="Arial"/>
          <w:sz w:val="20"/>
          <w:lang w:val="lt-LT"/>
        </w:rPr>
        <w:t>ą</w:t>
      </w:r>
      <w:r w:rsidRPr="00EB2C7D">
        <w:rPr>
          <w:rFonts w:ascii="Helvetica" w:hAnsi="Helvetica" w:cs="Arial"/>
          <w:sz w:val="20"/>
          <w:lang w:val="lt-LT"/>
        </w:rPr>
        <w:t>, kur kompozicija yra užšaldyta -65 °C arba žemesnėje temperatūroje.</w:t>
      </w:r>
    </w:p>
    <w:p w14:paraId="68F033AA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E12F6" w14:textId="10638187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9.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 pagal bet kurį </w:t>
      </w:r>
      <w:r w:rsidR="00DA124C" w:rsidRPr="00EB2C7D">
        <w:rPr>
          <w:rFonts w:ascii="Helvetica" w:hAnsi="Helvetica" w:cs="Arial"/>
          <w:sz w:val="20"/>
          <w:lang w:val="lt-LT"/>
        </w:rPr>
        <w:t xml:space="preserve">vieną </w:t>
      </w:r>
      <w:r w:rsidRPr="00EB2C7D">
        <w:rPr>
          <w:rFonts w:ascii="Helvetica" w:hAnsi="Helvetica" w:cs="Arial"/>
          <w:sz w:val="20"/>
          <w:lang w:val="lt-LT"/>
        </w:rPr>
        <w:t xml:space="preserve">iš 1–8 punktų, skirta </w:t>
      </w:r>
      <w:r w:rsidR="00DA124C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>naudoti terapijoje.</w:t>
      </w:r>
    </w:p>
    <w:p w14:paraId="7F4D35FC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6E1CFE" w14:textId="6CBB0087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10.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kompozicija, apimanti antikūną, kuris specifiškai </w:t>
      </w:r>
      <w:r w:rsidR="00DA124C" w:rsidRPr="00EB2C7D">
        <w:rPr>
          <w:rFonts w:ascii="Helvetica" w:hAnsi="Helvetica" w:cs="Arial"/>
          <w:sz w:val="20"/>
          <w:lang w:val="lt-LT"/>
        </w:rPr>
        <w:t>rišasi</w:t>
      </w:r>
      <w:r w:rsidRPr="00EB2C7D">
        <w:rPr>
          <w:rFonts w:ascii="Helvetica" w:hAnsi="Helvetica" w:cs="Arial"/>
          <w:sz w:val="20"/>
          <w:lang w:val="lt-LT"/>
        </w:rPr>
        <w:t xml:space="preserve"> prie pro/latentinio </w:t>
      </w:r>
      <w:proofErr w:type="spellStart"/>
      <w:r w:rsidRPr="00EB2C7D">
        <w:rPr>
          <w:rFonts w:ascii="Helvetica" w:hAnsi="Helvetica" w:cs="Arial"/>
          <w:sz w:val="20"/>
          <w:lang w:val="lt-LT"/>
        </w:rPr>
        <w:t>miostatino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, ir </w:t>
      </w:r>
      <w:r w:rsidR="00DA124C" w:rsidRPr="00EB2C7D">
        <w:rPr>
          <w:rFonts w:ascii="Helvetica" w:hAnsi="Helvetica" w:cs="Arial"/>
          <w:sz w:val="20"/>
          <w:lang w:val="lt-LT"/>
        </w:rPr>
        <w:t>farmaciniu požiūriu</w:t>
      </w:r>
      <w:r w:rsidRPr="00EB2C7D">
        <w:rPr>
          <w:rFonts w:ascii="Helvetica" w:hAnsi="Helvetica" w:cs="Arial"/>
          <w:sz w:val="20"/>
          <w:lang w:val="lt-LT"/>
        </w:rPr>
        <w:t xml:space="preserve"> priimtiną nešiklį, kur antikūnas apima sunkiąją grandinę, apimančią aminorūgščių seką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50, ir lengvąją grandinę, apimančią aminorūgščių seką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51, skirta </w:t>
      </w:r>
      <w:r w:rsidR="00DA124C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>naudoti terapijoje.</w:t>
      </w:r>
    </w:p>
    <w:p w14:paraId="54508F4A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DB9C15" w14:textId="18FA913B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11.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Antikūno, kuris </w:t>
      </w:r>
      <w:r w:rsidR="00DA124C" w:rsidRPr="00EB2C7D">
        <w:rPr>
          <w:rFonts w:ascii="Helvetica" w:hAnsi="Helvetica" w:cs="Arial"/>
          <w:sz w:val="20"/>
          <w:lang w:val="lt-LT"/>
        </w:rPr>
        <w:t>rišasi prie</w:t>
      </w:r>
      <w:r w:rsidRPr="00EB2C7D">
        <w:rPr>
          <w:rFonts w:ascii="Helvetica" w:hAnsi="Helvetica" w:cs="Arial"/>
          <w:sz w:val="20"/>
          <w:lang w:val="lt-LT"/>
        </w:rPr>
        <w:t xml:space="preserve"> pro/latentini</w:t>
      </w:r>
      <w:r w:rsidR="00DA124C" w:rsidRPr="00EB2C7D">
        <w:rPr>
          <w:rFonts w:ascii="Helvetica" w:hAnsi="Helvetica" w:cs="Arial"/>
          <w:sz w:val="20"/>
          <w:lang w:val="lt-LT"/>
        </w:rPr>
        <w:t>o</w:t>
      </w:r>
      <w:r w:rsidRPr="00EB2C7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B2C7D">
        <w:rPr>
          <w:rFonts w:ascii="Helvetica" w:hAnsi="Helvetica" w:cs="Arial"/>
          <w:sz w:val="20"/>
          <w:lang w:val="lt-LT"/>
        </w:rPr>
        <w:t>miostatin</w:t>
      </w:r>
      <w:r w:rsidR="00DA124C" w:rsidRPr="00EB2C7D">
        <w:rPr>
          <w:rFonts w:ascii="Helvetica" w:hAnsi="Helvetica" w:cs="Arial"/>
          <w:sz w:val="20"/>
          <w:lang w:val="lt-LT"/>
        </w:rPr>
        <w:t>o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, gamybos </w:t>
      </w:r>
      <w:r w:rsidR="00DA124C" w:rsidRPr="00EB2C7D">
        <w:rPr>
          <w:rFonts w:ascii="Helvetica" w:hAnsi="Helvetica" w:cs="Arial"/>
          <w:sz w:val="20"/>
          <w:lang w:val="lt-LT"/>
        </w:rPr>
        <w:t>bū</w:t>
      </w:r>
      <w:r w:rsidRPr="00EB2C7D">
        <w:rPr>
          <w:rFonts w:ascii="Helvetica" w:hAnsi="Helvetica" w:cs="Arial"/>
          <w:sz w:val="20"/>
          <w:lang w:val="lt-LT"/>
        </w:rPr>
        <w:t xml:space="preserve">das, </w:t>
      </w:r>
      <w:r w:rsidR="00DA124C" w:rsidRPr="00EB2C7D">
        <w:rPr>
          <w:rFonts w:ascii="Helvetica" w:hAnsi="Helvetica" w:cs="Arial"/>
          <w:sz w:val="20"/>
          <w:lang w:val="lt-LT"/>
        </w:rPr>
        <w:t xml:space="preserve">kur būdas </w:t>
      </w:r>
      <w:r w:rsidRPr="00EB2C7D">
        <w:rPr>
          <w:rFonts w:ascii="Helvetica" w:hAnsi="Helvetica" w:cs="Arial"/>
          <w:sz w:val="20"/>
          <w:lang w:val="lt-LT"/>
        </w:rPr>
        <w:t>apima:</w:t>
      </w:r>
    </w:p>
    <w:p w14:paraId="54FF7B5D" w14:textId="07253537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EB2C7D">
        <w:rPr>
          <w:rFonts w:ascii="Helvetica" w:hAnsi="Helvetica" w:cs="Arial"/>
          <w:sz w:val="20"/>
          <w:lang w:val="lt-LT"/>
        </w:rPr>
        <w:t>polinukleotid</w:t>
      </w:r>
      <w:r w:rsidR="008549C3" w:rsidRPr="00EB2C7D">
        <w:rPr>
          <w:rFonts w:ascii="Helvetica" w:hAnsi="Helvetica" w:cs="Arial"/>
          <w:sz w:val="20"/>
          <w:lang w:val="lt-LT"/>
        </w:rPr>
        <w:t>ų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arba vektori</w:t>
      </w:r>
      <w:r w:rsidR="008549C3" w:rsidRPr="00EB2C7D">
        <w:rPr>
          <w:rFonts w:ascii="Helvetica" w:hAnsi="Helvetica" w:cs="Arial"/>
          <w:sz w:val="20"/>
          <w:lang w:val="lt-LT"/>
        </w:rPr>
        <w:t>ų įvedimą</w:t>
      </w:r>
      <w:r w:rsidRPr="00EB2C7D">
        <w:rPr>
          <w:rFonts w:ascii="Helvetica" w:hAnsi="Helvetica" w:cs="Arial"/>
          <w:sz w:val="20"/>
          <w:lang w:val="lt-LT"/>
        </w:rPr>
        <w:t xml:space="preserve"> į šeimininko ląstelę, kur </w:t>
      </w:r>
      <w:proofErr w:type="spellStart"/>
      <w:r w:rsidRPr="00EB2C7D">
        <w:rPr>
          <w:rFonts w:ascii="Helvetica" w:hAnsi="Helvetica" w:cs="Arial"/>
          <w:sz w:val="20"/>
          <w:lang w:val="lt-LT"/>
        </w:rPr>
        <w:t>polinukleotidai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arba vektoriai koduoja:</w:t>
      </w:r>
    </w:p>
    <w:p w14:paraId="682C7F4A" w14:textId="21DDC8AD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i) antikūno sunkiosios grandinės kintamą sritį, apimančią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25, kur</w:t>
      </w:r>
      <w:r w:rsidR="008549C3" w:rsidRPr="00EB2C7D">
        <w:rPr>
          <w:rFonts w:ascii="Helvetica" w:hAnsi="Helvetica" w:cs="Arial"/>
          <w:sz w:val="20"/>
          <w:lang w:val="lt-LT"/>
        </w:rPr>
        <w:t xml:space="preserve"> pasirinktinai</w:t>
      </w:r>
      <w:r w:rsidRPr="00EB2C7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B2C7D">
        <w:rPr>
          <w:rFonts w:ascii="Helvetica" w:hAnsi="Helvetica" w:cs="Arial"/>
          <w:sz w:val="20"/>
          <w:lang w:val="lt-LT"/>
        </w:rPr>
        <w:t>polinukleotidas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apima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39 nukleorūgščių seką; ir</w:t>
      </w:r>
    </w:p>
    <w:p w14:paraId="0E1C384A" w14:textId="10683A20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ii) antikūno lengvosios grandinės kintamą sritį, apimančią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31, kur </w:t>
      </w:r>
      <w:r w:rsidR="008549C3" w:rsidRPr="00EB2C7D">
        <w:rPr>
          <w:rFonts w:ascii="Helvetica" w:hAnsi="Helvetica" w:cs="Arial"/>
          <w:sz w:val="20"/>
          <w:lang w:val="lt-LT"/>
        </w:rPr>
        <w:t xml:space="preserve">pasirinktinai </w:t>
      </w:r>
      <w:proofErr w:type="spellStart"/>
      <w:r w:rsidRPr="00EB2C7D">
        <w:rPr>
          <w:rFonts w:ascii="Helvetica" w:hAnsi="Helvetica" w:cs="Arial"/>
          <w:sz w:val="20"/>
          <w:lang w:val="lt-LT"/>
        </w:rPr>
        <w:t>polinukleotidas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apima SEQ ID </w:t>
      </w:r>
      <w:r w:rsidR="003179E0" w:rsidRPr="00EB2C7D">
        <w:rPr>
          <w:rFonts w:ascii="Helvetica" w:hAnsi="Helvetica" w:cs="Arial"/>
          <w:sz w:val="20"/>
          <w:lang w:val="lt-LT"/>
        </w:rPr>
        <w:t>Nr.</w:t>
      </w:r>
      <w:r w:rsidRPr="00EB2C7D">
        <w:rPr>
          <w:rFonts w:ascii="Helvetica" w:hAnsi="Helvetica" w:cs="Arial"/>
          <w:sz w:val="20"/>
          <w:lang w:val="lt-LT"/>
        </w:rPr>
        <w:t xml:space="preserve"> 45 nukleorūgščių seką;</w:t>
      </w:r>
    </w:p>
    <w:p w14:paraId="6BA832C4" w14:textId="085725E6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 xml:space="preserve">b) ląstelės </w:t>
      </w:r>
      <w:r w:rsidR="008549C3" w:rsidRPr="00EB2C7D">
        <w:rPr>
          <w:rFonts w:ascii="Helvetica" w:hAnsi="Helvetica" w:cs="Arial"/>
          <w:sz w:val="20"/>
          <w:lang w:val="lt-LT"/>
        </w:rPr>
        <w:t xml:space="preserve">šeimininkės </w:t>
      </w:r>
      <w:r w:rsidRPr="00EB2C7D">
        <w:rPr>
          <w:rFonts w:ascii="Helvetica" w:hAnsi="Helvetica" w:cs="Arial"/>
          <w:sz w:val="20"/>
          <w:lang w:val="lt-LT"/>
        </w:rPr>
        <w:t>kultivavim</w:t>
      </w:r>
      <w:r w:rsidR="008549C3" w:rsidRPr="00EB2C7D">
        <w:rPr>
          <w:rFonts w:ascii="Helvetica" w:hAnsi="Helvetica" w:cs="Arial"/>
          <w:sz w:val="20"/>
          <w:lang w:val="lt-LT"/>
        </w:rPr>
        <w:t>ą, esant</w:t>
      </w:r>
      <w:r w:rsidRPr="00EB2C7D">
        <w:rPr>
          <w:rFonts w:ascii="Helvetica" w:hAnsi="Helvetica" w:cs="Arial"/>
          <w:sz w:val="20"/>
          <w:lang w:val="lt-LT"/>
        </w:rPr>
        <w:t xml:space="preserve"> kultivavimo sąlygoms, tinkamoms </w:t>
      </w:r>
      <w:r w:rsidR="008549C3" w:rsidRPr="00EB2C7D">
        <w:rPr>
          <w:rFonts w:ascii="Helvetica" w:hAnsi="Helvetica" w:cs="Arial"/>
          <w:sz w:val="20"/>
          <w:lang w:val="lt-LT"/>
        </w:rPr>
        <w:t xml:space="preserve">ląstelių </w:t>
      </w:r>
      <w:r w:rsidRPr="00EB2C7D">
        <w:rPr>
          <w:rFonts w:ascii="Helvetica" w:hAnsi="Helvetica" w:cs="Arial"/>
          <w:sz w:val="20"/>
          <w:lang w:val="lt-LT"/>
        </w:rPr>
        <w:t>šeiminink</w:t>
      </w:r>
      <w:r w:rsidR="008549C3" w:rsidRPr="00EB2C7D">
        <w:rPr>
          <w:rFonts w:ascii="Helvetica" w:hAnsi="Helvetica" w:cs="Arial"/>
          <w:sz w:val="20"/>
          <w:lang w:val="lt-LT"/>
        </w:rPr>
        <w:t>ių</w:t>
      </w:r>
      <w:r w:rsidRPr="00EB2C7D">
        <w:rPr>
          <w:rFonts w:ascii="Helvetica" w:hAnsi="Helvetica" w:cs="Arial"/>
          <w:sz w:val="20"/>
          <w:lang w:val="lt-LT"/>
        </w:rPr>
        <w:t xml:space="preserve"> augimui ir koduojančių sekų </w:t>
      </w:r>
      <w:r w:rsidR="008549C3" w:rsidRPr="00EB2C7D">
        <w:rPr>
          <w:rFonts w:ascii="Helvetica" w:hAnsi="Helvetica" w:cs="Arial"/>
          <w:sz w:val="20"/>
          <w:lang w:val="lt-LT"/>
        </w:rPr>
        <w:t>raiškai</w:t>
      </w:r>
      <w:r w:rsidRPr="00EB2C7D">
        <w:rPr>
          <w:rFonts w:ascii="Helvetica" w:hAnsi="Helvetica" w:cs="Arial"/>
          <w:sz w:val="20"/>
          <w:lang w:val="lt-LT"/>
        </w:rPr>
        <w:t>; ir</w:t>
      </w:r>
    </w:p>
    <w:p w14:paraId="2EB078C6" w14:textId="7B80375B" w:rsidR="00742F4F" w:rsidRPr="00EB2C7D" w:rsidRDefault="00742F4F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c) antikūno išskyrim</w:t>
      </w:r>
      <w:r w:rsidR="008549C3" w:rsidRPr="00EB2C7D">
        <w:rPr>
          <w:rFonts w:ascii="Helvetica" w:hAnsi="Helvetica" w:cs="Arial"/>
          <w:sz w:val="20"/>
          <w:lang w:val="lt-LT"/>
        </w:rPr>
        <w:t>ą</w:t>
      </w:r>
      <w:r w:rsidRPr="00EB2C7D">
        <w:rPr>
          <w:rFonts w:ascii="Helvetica" w:hAnsi="Helvetica" w:cs="Arial"/>
          <w:sz w:val="20"/>
          <w:lang w:val="lt-LT"/>
        </w:rPr>
        <w:t xml:space="preserve"> iš kultūros.</w:t>
      </w:r>
    </w:p>
    <w:p w14:paraId="6D4C04B7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CA0782" w14:textId="60BE5C45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12.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Antikūnas, gaunamas </w:t>
      </w:r>
      <w:r w:rsidR="008549C3" w:rsidRPr="00EB2C7D">
        <w:rPr>
          <w:rFonts w:ascii="Helvetica" w:hAnsi="Helvetica" w:cs="Arial"/>
          <w:sz w:val="20"/>
          <w:lang w:val="lt-LT"/>
        </w:rPr>
        <w:t xml:space="preserve">būdu pagal </w:t>
      </w:r>
      <w:r w:rsidRPr="00EB2C7D">
        <w:rPr>
          <w:rFonts w:ascii="Helvetica" w:hAnsi="Helvetica" w:cs="Arial"/>
          <w:sz w:val="20"/>
          <w:lang w:val="lt-LT"/>
        </w:rPr>
        <w:t>11 punkt</w:t>
      </w:r>
      <w:r w:rsidR="008549C3" w:rsidRPr="00EB2C7D">
        <w:rPr>
          <w:rFonts w:ascii="Helvetica" w:hAnsi="Helvetica" w:cs="Arial"/>
          <w:sz w:val="20"/>
          <w:lang w:val="lt-LT"/>
        </w:rPr>
        <w:t>ą</w:t>
      </w:r>
      <w:r w:rsidRPr="00EB2C7D">
        <w:rPr>
          <w:rFonts w:ascii="Helvetica" w:hAnsi="Helvetica" w:cs="Arial"/>
          <w:sz w:val="20"/>
          <w:lang w:val="lt-LT"/>
        </w:rPr>
        <w:t xml:space="preserve">, skirtas </w:t>
      </w:r>
      <w:r w:rsidR="008549C3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>naudoti terapijoje.</w:t>
      </w:r>
    </w:p>
    <w:p w14:paraId="1177EC03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249404" w14:textId="32C0B0F4" w:rsidR="00742F4F" w:rsidRPr="00EB2C7D" w:rsidRDefault="00742F4F" w:rsidP="00EB2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13.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8549C3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 xml:space="preserve">naudoti pagal 9 arba 10 punktą, arba antikūnas, skirtas </w:t>
      </w:r>
      <w:r w:rsidR="008549C3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 xml:space="preserve">naudoti pagal 12 punktą, kur farmacinė kompozicija arba antikūnas yra skirti </w:t>
      </w:r>
      <w:r w:rsidR="008549C3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 xml:space="preserve">naudoti </w:t>
      </w:r>
      <w:r w:rsidR="008549C3" w:rsidRPr="00EB2C7D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EB2C7D">
        <w:rPr>
          <w:rFonts w:ascii="Helvetica" w:hAnsi="Helvetica" w:cs="Arial"/>
          <w:sz w:val="20"/>
          <w:lang w:val="lt-LT"/>
        </w:rPr>
        <w:t>miopatija</w:t>
      </w:r>
      <w:proofErr w:type="spellEnd"/>
      <w:r w:rsidRPr="00EB2C7D">
        <w:rPr>
          <w:rFonts w:ascii="Helvetica" w:hAnsi="Helvetica" w:cs="Arial"/>
          <w:sz w:val="20"/>
          <w:lang w:val="lt-LT"/>
        </w:rPr>
        <w:t xml:space="preserve"> sergančio subjekto gydymo </w:t>
      </w:r>
      <w:r w:rsidR="008549C3" w:rsidRPr="00EB2C7D">
        <w:rPr>
          <w:rFonts w:ascii="Helvetica" w:hAnsi="Helvetica" w:cs="Arial"/>
          <w:sz w:val="20"/>
          <w:lang w:val="lt-LT"/>
        </w:rPr>
        <w:t>būdą,</w:t>
      </w:r>
      <w:r w:rsidRPr="00EB2C7D">
        <w:rPr>
          <w:rFonts w:ascii="Helvetica" w:hAnsi="Helvetica" w:cs="Arial"/>
          <w:sz w:val="20"/>
          <w:lang w:val="lt-LT"/>
        </w:rPr>
        <w:t xml:space="preserve"> ir kur </w:t>
      </w:r>
      <w:r w:rsidR="008549C3" w:rsidRPr="00EB2C7D">
        <w:rPr>
          <w:rFonts w:ascii="Helvetica" w:hAnsi="Helvetica" w:cs="Arial"/>
          <w:sz w:val="20"/>
          <w:lang w:val="lt-LT"/>
        </w:rPr>
        <w:t>bū</w:t>
      </w:r>
      <w:r w:rsidRPr="00EB2C7D">
        <w:rPr>
          <w:rFonts w:ascii="Helvetica" w:hAnsi="Helvetica" w:cs="Arial"/>
          <w:sz w:val="20"/>
          <w:lang w:val="lt-LT"/>
        </w:rPr>
        <w:t>das apima antikūno arba farmacinės kompozicijos</w:t>
      </w:r>
      <w:r w:rsidR="008549C3" w:rsidRPr="00EB2C7D">
        <w:rPr>
          <w:rFonts w:ascii="Helvetica" w:hAnsi="Helvetica" w:cs="Arial"/>
          <w:sz w:val="20"/>
          <w:lang w:val="lt-LT"/>
        </w:rPr>
        <w:t xml:space="preserve"> veiksmingo</w:t>
      </w:r>
      <w:r w:rsidRPr="00EB2C7D">
        <w:rPr>
          <w:rFonts w:ascii="Helvetica" w:hAnsi="Helvetica" w:cs="Arial"/>
          <w:sz w:val="20"/>
          <w:lang w:val="lt-LT"/>
        </w:rPr>
        <w:t xml:space="preserve"> kiekio </w:t>
      </w:r>
      <w:r w:rsidR="008549C3" w:rsidRPr="00EB2C7D">
        <w:rPr>
          <w:rFonts w:ascii="Helvetica" w:hAnsi="Helvetica" w:cs="Arial"/>
          <w:sz w:val="20"/>
          <w:lang w:val="lt-LT"/>
        </w:rPr>
        <w:t>įved</w:t>
      </w:r>
      <w:r w:rsidRPr="00EB2C7D">
        <w:rPr>
          <w:rFonts w:ascii="Helvetica" w:hAnsi="Helvetica" w:cs="Arial"/>
          <w:sz w:val="20"/>
          <w:lang w:val="lt-LT"/>
        </w:rPr>
        <w:t>imą subjektui.</w:t>
      </w:r>
    </w:p>
    <w:p w14:paraId="1E0A6B3C" w14:textId="77777777" w:rsidR="001D4355" w:rsidRPr="00EB2C7D" w:rsidRDefault="001D4355" w:rsidP="00EB2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AE4BC5" w14:textId="31138BE6" w:rsidR="008549C3" w:rsidRPr="00EB2C7D" w:rsidRDefault="00742F4F" w:rsidP="00B532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B2C7D">
        <w:rPr>
          <w:rFonts w:ascii="Helvetica" w:hAnsi="Helvetica" w:cs="Arial"/>
          <w:sz w:val="20"/>
          <w:lang w:val="lt-LT"/>
        </w:rPr>
        <w:t>14.</w:t>
      </w:r>
      <w:r w:rsidR="001D4355" w:rsidRPr="00EB2C7D">
        <w:rPr>
          <w:rFonts w:ascii="Helvetica" w:hAnsi="Helvetica" w:cs="Arial"/>
          <w:sz w:val="20"/>
          <w:lang w:val="lt-LT"/>
        </w:rPr>
        <w:t xml:space="preserve"> </w:t>
      </w:r>
      <w:r w:rsidRPr="00EB2C7D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8549C3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 xml:space="preserve">naudoti pagal 9, 10 arba 13 punktą, arba antikūnas, skirtas </w:t>
      </w:r>
      <w:r w:rsidR="008549C3" w:rsidRPr="00EB2C7D">
        <w:rPr>
          <w:rFonts w:ascii="Helvetica" w:hAnsi="Helvetica" w:cs="Arial"/>
          <w:sz w:val="20"/>
          <w:lang w:val="lt-LT"/>
        </w:rPr>
        <w:t>pa</w:t>
      </w:r>
      <w:r w:rsidRPr="00EB2C7D">
        <w:rPr>
          <w:rFonts w:ascii="Helvetica" w:hAnsi="Helvetica" w:cs="Arial"/>
          <w:sz w:val="20"/>
          <w:lang w:val="lt-LT"/>
        </w:rPr>
        <w:t xml:space="preserve">naudoti pagal 12 arba 13 punktą, kur antikūnas turi būti </w:t>
      </w:r>
      <w:r w:rsidR="008549C3" w:rsidRPr="00EB2C7D">
        <w:rPr>
          <w:rFonts w:ascii="Helvetica" w:hAnsi="Helvetica" w:cs="Arial"/>
          <w:sz w:val="20"/>
          <w:lang w:val="lt-LT"/>
        </w:rPr>
        <w:t>įved</w:t>
      </w:r>
      <w:r w:rsidRPr="00EB2C7D">
        <w:rPr>
          <w:rFonts w:ascii="Helvetica" w:hAnsi="Helvetica" w:cs="Arial"/>
          <w:sz w:val="20"/>
          <w:lang w:val="lt-LT"/>
        </w:rPr>
        <w:t>amas po oda arba į veną.</w:t>
      </w:r>
    </w:p>
    <w:sectPr w:rsidR="008549C3" w:rsidRPr="00EB2C7D" w:rsidSect="00EB2C7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9108" w14:textId="77777777" w:rsidR="00D81C7F" w:rsidRDefault="00D81C7F" w:rsidP="007B0A41">
      <w:pPr>
        <w:spacing w:after="0" w:line="240" w:lineRule="auto"/>
      </w:pPr>
      <w:r>
        <w:separator/>
      </w:r>
    </w:p>
  </w:endnote>
  <w:endnote w:type="continuationSeparator" w:id="0">
    <w:p w14:paraId="52B22481" w14:textId="77777777" w:rsidR="00D81C7F" w:rsidRDefault="00D81C7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CD3A" w14:textId="77777777" w:rsidR="00D81C7F" w:rsidRDefault="00D81C7F" w:rsidP="007B0A41">
      <w:pPr>
        <w:spacing w:after="0" w:line="240" w:lineRule="auto"/>
      </w:pPr>
      <w:r>
        <w:separator/>
      </w:r>
    </w:p>
  </w:footnote>
  <w:footnote w:type="continuationSeparator" w:id="0">
    <w:p w14:paraId="17D2041D" w14:textId="77777777" w:rsidR="00D81C7F" w:rsidRDefault="00D81C7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proofState w:spelling="clean" w:grammar="clean"/>
  <w:doNotTrackMoves/>
  <w:defaultTabStop w:val="720"/>
  <w:hyphenationZone w:val="396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93C60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D4355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179E0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1539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42F4F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16AA"/>
    <w:rsid w:val="0082278C"/>
    <w:rsid w:val="008309E7"/>
    <w:rsid w:val="008321FA"/>
    <w:rsid w:val="00834BC8"/>
    <w:rsid w:val="00837B1E"/>
    <w:rsid w:val="00847DA0"/>
    <w:rsid w:val="008549C3"/>
    <w:rsid w:val="00864E7D"/>
    <w:rsid w:val="00884736"/>
    <w:rsid w:val="00886FF4"/>
    <w:rsid w:val="00897959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013A8"/>
    <w:rsid w:val="00B200E3"/>
    <w:rsid w:val="00B226B6"/>
    <w:rsid w:val="00B264AD"/>
    <w:rsid w:val="00B47D94"/>
    <w:rsid w:val="00B50D53"/>
    <w:rsid w:val="00B5323D"/>
    <w:rsid w:val="00B63380"/>
    <w:rsid w:val="00B6516C"/>
    <w:rsid w:val="00B70727"/>
    <w:rsid w:val="00B81287"/>
    <w:rsid w:val="00B86C5A"/>
    <w:rsid w:val="00B941E6"/>
    <w:rsid w:val="00B95DE1"/>
    <w:rsid w:val="00BA0FFB"/>
    <w:rsid w:val="00BB75DF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0ADC"/>
    <w:rsid w:val="00D15412"/>
    <w:rsid w:val="00D16824"/>
    <w:rsid w:val="00D23A2A"/>
    <w:rsid w:val="00D30F69"/>
    <w:rsid w:val="00D54A23"/>
    <w:rsid w:val="00D55A30"/>
    <w:rsid w:val="00D56D60"/>
    <w:rsid w:val="00D81C7F"/>
    <w:rsid w:val="00D83DAA"/>
    <w:rsid w:val="00D9102C"/>
    <w:rsid w:val="00DA124C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2C7D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8EA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155CED03"/>
  <w15:chartTrackingRefBased/>
  <w15:docId w15:val="{06DF77C3-1EB2-46C8-B49D-D315DC8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3084</Characters>
  <Application>Microsoft Office Word</Application>
  <DocSecurity>0</DocSecurity>
  <Lines>123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4</cp:revision>
  <dcterms:created xsi:type="dcterms:W3CDTF">2025-05-19T05:52:00Z</dcterms:created>
  <dcterms:modified xsi:type="dcterms:W3CDTF">2025-06-09T13:19:00Z</dcterms:modified>
</cp:coreProperties>
</file>