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B056" w14:textId="4B31CCFE" w:rsidR="00591499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surišantis 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fragmentas, kuris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specifiškai 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riš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asi su programuot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os žūties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baltymu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1 (PD-1), skirtas naudoti naviko gydymo arba augimo slopinimo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minėtas 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das apima:</w:t>
      </w:r>
    </w:p>
    <w:p w14:paraId="5EDEA297" w14:textId="77777777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(a) paciento, sergančio baz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ali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nių ląstelių karcinoma (B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LK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), parinkim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1E106269" w14:textId="77777777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(b) terapiškai veiksmingo antikūno arba antigeną surišančio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fragmento kiekio skyrimą pacientui, kuriam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reik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>alingas toks gydymas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59C0AAB" w14:textId="59795CFA" w:rsidR="00676601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kur antikūnas arba antigeną surišantis</w:t>
      </w:r>
      <w:r w:rsidR="00934A5A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apima tris sunkiosios grandinės komplementarumą lemiančias sritis (HCDR1, HCDR2 ir HCDR3)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676601" w:rsidRPr="000B1DA2">
        <w:rPr>
          <w:rFonts w:ascii="Helvetica" w:eastAsia="Times New Roman" w:hAnsi="Helvetica" w:cs="Arial"/>
          <w:sz w:val="20"/>
          <w:szCs w:val="24"/>
          <w:lang w:eastAsia="lt-LT"/>
        </w:rPr>
        <w:t>gau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>tas iš sunkiosios grandinės kintamos srities (HCVR),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ir tris lengvosios grandinės komplementarumą lemiančias sritis (LCDR1, LCDR2 ir LCDR3)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676601" w:rsidRPr="000B1DA2">
        <w:rPr>
          <w:rFonts w:ascii="Helvetica" w:eastAsia="Times New Roman" w:hAnsi="Helvetica" w:cs="Arial"/>
          <w:sz w:val="20"/>
          <w:szCs w:val="24"/>
          <w:lang w:eastAsia="lt-LT"/>
        </w:rPr>
        <w:t>gau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>tas iš lengvosios grandinės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>ies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(LCVR), kur HCDR1 apima aminorūgščių seką SEQ ID Nr. 3; HCDR2 apima aminorūgščių seką SEQ ID Nr. 4; HCDR3 apima aminorūgščių seką SEQ ID Nr. 5; LCDR1 apima aminorūgščių seką SEQ ID Nr. 6; LCDR2 apima aminorūgščių seką </w:t>
      </w:r>
      <w:r w:rsidR="00676601" w:rsidRPr="000B1DA2">
        <w:rPr>
          <w:rFonts w:ascii="Helvetica" w:eastAsia="Times New Roman" w:hAnsi="Helvetica" w:cs="Arial"/>
          <w:sz w:val="20"/>
          <w:szCs w:val="24"/>
          <w:lang w:eastAsia="lt-LT"/>
        </w:rPr>
        <w:t>SEQ ID Nr. 7; ir LCDR3 apima aminorūgščių seką SEQ ID Nr. 8.</w:t>
      </w:r>
    </w:p>
    <w:p w14:paraId="5DABCA97" w14:textId="77777777" w:rsidR="000B1DA2" w:rsidRPr="000B1DA2" w:rsidRDefault="000B1DA2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3E5459A" w14:textId="77777777" w:rsidR="000B1DA2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 antigeną surišantis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 punktą, kur B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>LK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 metastazav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>usi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nerezekuojama arba lokaliai paženg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>usi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E52289F" w14:textId="331C84FA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0ED482F" w14:textId="194AF8F2" w:rsidR="00591499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surišantis </w:t>
      </w:r>
      <w:r w:rsidR="00795CDE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fragmentas, skirtas naudoti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 arba 2 punktą, kur:</w:t>
      </w:r>
    </w:p>
    <w:p w14:paraId="19F7069F" w14:textId="77777777" w:rsidR="00591499" w:rsidRPr="000B1DA2" w:rsidRDefault="00795CDE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a) pacientas anksčiau buvo gydomas bent vien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priešvėžin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iu gydymo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34C5C98B" w14:textId="77777777" w:rsidR="004C5E11" w:rsidRPr="000B1DA2" w:rsidRDefault="00795CDE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b) pacientas yra atsparus ankstesniam gydymui arba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nepakankamai 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>reaguojantis arba stebimas atkrytis po ankstesnio gydymo.</w:t>
      </w:r>
    </w:p>
    <w:p w14:paraId="22D1B3C9" w14:textId="77777777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1EAFB23" w14:textId="427C3B51" w:rsidR="004C5E11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 antigeną surišantis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3 punktą, kur priešvėžin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>is gydymas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 parinkta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iš chirurgijos, spinduli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>nio gydymo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chemoterapijos, </w:t>
      </w:r>
      <w:r w:rsidR="004C5E11" w:rsidRPr="000B1DA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hedgehog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kelio inhibitoriaus ir kito antikūno prieš PD-1.</w:t>
      </w:r>
    </w:p>
    <w:p w14:paraId="43277B65" w14:textId="77777777" w:rsidR="000B1DA2" w:rsidRPr="000B1DA2" w:rsidRDefault="000B1DA2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EB154BF" w14:textId="0C736CF4" w:rsidR="00DF3C3B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 antigeną surišantis</w:t>
      </w:r>
      <w:r w:rsidR="004C5E11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1-4 punktų, kur B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LK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progresavo po ankstesnio gydymo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hedgehog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kelio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inhibitoriumi arba pacientas </w:t>
      </w:r>
      <w:r w:rsidR="00676601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netoleruoja.</w:t>
      </w:r>
    </w:p>
    <w:p w14:paraId="642D9828" w14:textId="77777777" w:rsidR="000B1DA2" w:rsidRPr="000B1DA2" w:rsidRDefault="000B1DA2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36B5AD7" w14:textId="731D7E92" w:rsidR="000B1DA2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7497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antigeną surišantis jo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4 arba 5 punktą, kur </w:t>
      </w:r>
      <w:r w:rsidR="00DF3C3B" w:rsidRPr="000B1DA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hedgehog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kelio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inhibitorius yra parinktas iš vismodegibo ir sonedegibo.</w:t>
      </w:r>
    </w:p>
    <w:p w14:paraId="440CCD7F" w14:textId="68262796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A345E20" w14:textId="4EC41915" w:rsidR="00591499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1-6 punktų, kur 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 įvedamas viena arba keliomis dozėmis, kur:</w:t>
      </w:r>
    </w:p>
    <w:p w14:paraId="060BB510" w14:textId="77777777" w:rsidR="00591499" w:rsidRPr="000B1DA2" w:rsidRDefault="00EF7497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a) kiekviena dozė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yra įved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ama praėjus 0,5–4 savaitėms po prieš tai buvusios dozės;</w:t>
      </w:r>
    </w:p>
    <w:p w14:paraId="0A2DEC93" w14:textId="77777777" w:rsidR="00591499" w:rsidRPr="000B1DA2" w:rsidRDefault="00EF7497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b) kiekviena dozė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 įvedama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praėjus 2 savaitėms po prieš tai buvusios dozės; arba</w:t>
      </w:r>
    </w:p>
    <w:p w14:paraId="1ED97B00" w14:textId="77777777" w:rsidR="00591499" w:rsidRPr="000B1DA2" w:rsidRDefault="00EF7497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c) kiekviena dozė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yra įvedama 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praėjus 3 savaitėms po prieš tai buvusios dozės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EABF644" w14:textId="77777777" w:rsidR="000B1DA2" w:rsidRPr="000B1DA2" w:rsidRDefault="000B1DA2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850804D" w14:textId="16296647" w:rsidR="00591499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7 punktą, kur kiekviena dozė apima antikūną 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prieš PD-1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arba antigeną 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rišan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tį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fragment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kiek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iu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6356C085" w14:textId="77777777" w:rsidR="00591499" w:rsidRPr="000B1DA2" w:rsidRDefault="00676601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a) 1, 3 arba 10 mg/kg paciento kūno svorio; pasirinktinai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3 mg/kg paciento kūno svorio; arba</w:t>
      </w:r>
    </w:p>
    <w:p w14:paraId="12249126" w14:textId="77777777" w:rsidR="00591499" w:rsidRPr="000B1DA2" w:rsidRDefault="00676601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591499" w:rsidRPr="000B1DA2">
        <w:rPr>
          <w:rFonts w:ascii="Helvetica" w:eastAsia="Times New Roman" w:hAnsi="Helvetica" w:cs="Arial"/>
          <w:sz w:val="20"/>
          <w:szCs w:val="24"/>
          <w:lang w:eastAsia="lt-LT"/>
        </w:rPr>
        <w:t>b) 50-600 mg; pasirinktinai, 200, 250 arba 350 mg.</w:t>
      </w:r>
    </w:p>
    <w:p w14:paraId="1FE128B0" w14:textId="1AC98B3F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BE29F2A" w14:textId="7979032D" w:rsidR="00A03505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skirt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1-8 punktų, kur 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 skiriamas</w:t>
      </w:r>
      <w:r w:rsidR="00A03505" w:rsidRPr="000B1DA2">
        <w:rPr>
          <w:rFonts w:ascii="Helvetica" w:hAnsi="Helvetica"/>
          <w:sz w:val="20"/>
        </w:rPr>
        <w:t xml:space="preserve"> 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kaip monoterapija.</w:t>
      </w:r>
    </w:p>
    <w:p w14:paraId="6000BCB6" w14:textId="40EFBCFD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75483A3" w14:textId="52C23F25" w:rsidR="00EF5584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1-9 punktų, kur įvedimas sukelia bent vieną poveikį, parinktą iš grupės, susidedančios iš naviko augimo slopinimo, naviko regresijos, 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naviko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dydžio sumaž</w:t>
      </w:r>
      <w:r w:rsidR="006C159F" w:rsidRPr="000B1DA2">
        <w:rPr>
          <w:rFonts w:ascii="Helvetica" w:eastAsia="Times New Roman" w:hAnsi="Helvetica" w:cs="Arial"/>
          <w:sz w:val="20"/>
          <w:szCs w:val="24"/>
          <w:lang w:eastAsia="lt-LT"/>
        </w:rPr>
        <w:t>ėjim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o, naviko ląstelių skaičiaus sumažėjim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naviko augimo sulėtėjim</w:t>
      </w:r>
      <w:r w:rsidR="00A03505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abskopini</w:t>
      </w:r>
      <w:r w:rsidR="00294B4B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poveiki</w:t>
      </w:r>
      <w:r w:rsidR="00294B4B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naviko metastazių slopinim</w:t>
      </w:r>
      <w:r w:rsidR="00294B4B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metastaz</w:t>
      </w:r>
      <w:r w:rsidR="00294B4B" w:rsidRPr="000B1DA2">
        <w:rPr>
          <w:rFonts w:ascii="Helvetica" w:eastAsia="Times New Roman" w:hAnsi="Helvetica" w:cs="Arial"/>
          <w:sz w:val="20"/>
          <w:szCs w:val="24"/>
          <w:lang w:eastAsia="lt-LT"/>
        </w:rPr>
        <w:t>inių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paž</w:t>
      </w:r>
      <w:r w:rsidR="00294B4B" w:rsidRPr="000B1DA2">
        <w:rPr>
          <w:rFonts w:ascii="Helvetica" w:eastAsia="Times New Roman" w:hAnsi="Helvetica" w:cs="Arial"/>
          <w:sz w:val="20"/>
          <w:szCs w:val="24"/>
          <w:lang w:eastAsia="lt-LT"/>
        </w:rPr>
        <w:t>aid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ų sumažėjim</w:t>
      </w:r>
      <w:r w:rsidR="00294B4B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laikui bėgant, mažesni</w:t>
      </w:r>
      <w:r w:rsidR="008F4495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chemoterapinių ar citotoksinių medžiagų </w:t>
      </w:r>
      <w:r w:rsidR="008F4495" w:rsidRPr="000B1DA2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vartojim</w:t>
      </w:r>
      <w:r w:rsidR="008F4495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F4495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navik</w:t>
      </w:r>
      <w:r w:rsidR="008F4495" w:rsidRPr="000B1DA2">
        <w:rPr>
          <w:rFonts w:ascii="Helvetica" w:eastAsia="Times New Roman" w:hAnsi="Helvetica" w:cs="Arial"/>
          <w:sz w:val="20"/>
          <w:szCs w:val="24"/>
          <w:lang w:eastAsia="lt-LT"/>
        </w:rPr>
        <w:t>u susijusios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naštos </w:t>
      </w:r>
      <w:r w:rsidR="008F4495" w:rsidRPr="000B1DA2">
        <w:rPr>
          <w:rFonts w:ascii="Helvetica" w:eastAsia="Times New Roman" w:hAnsi="Helvetica" w:cs="Arial"/>
          <w:sz w:val="20"/>
          <w:szCs w:val="24"/>
          <w:lang w:eastAsia="lt-LT"/>
        </w:rPr>
        <w:t>palengvėjimo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išgyvenamumo be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ligos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progresavimo padidėjim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o,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bendr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išgyvenamum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6C159F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pagerėjimo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pilno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atsak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dalini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atsak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stabilizuotos ligos.</w:t>
      </w:r>
    </w:p>
    <w:p w14:paraId="204ABED0" w14:textId="77777777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86E6AF" w14:textId="11B64DB7" w:rsidR="001A4D00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7497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1-8 ir 10 punktų, 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be to,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apimantis papildomo terapinio agento arba 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gydymo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skyrimą pacientui, kur papildomas terapinis agentas arba 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gydymas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 parinkt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iš grupės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susidedan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čos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iš </w:t>
      </w:r>
      <w:r w:rsidR="00EF5584" w:rsidRPr="000B1DA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hedgehog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kelio inhibitoriaus, operacijos, spinduli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nio gydymo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chemoterapinio agento, vėžio vakcinos, programuoto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žū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ties ligando 1 (PD-L1) inhibitoriaus, limfocitų aktyv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>acijos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geno 3 (LAG3) inhibitoriaus,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su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citotoksini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ais</w:t>
      </w:r>
      <w:r w:rsidR="00EF5584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T limfocitais susijusio baltymo 4 (CTLA-4)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prieš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gliukokortikoid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ais indukuojamą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naviko nekrozės faktoriaus receptori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(GITR), T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ląstelių imunoglobulino ir mucin</w:t>
      </w:r>
      <w:r w:rsidR="007876F4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o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domen</w:t>
      </w:r>
      <w:r w:rsidR="007876F4" w:rsidRPr="000B1DA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turin</w:t>
      </w:r>
      <w:r w:rsidR="007B5420" w:rsidRPr="000B1DA2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="007876F4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-3 (TIM3)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B ir T</w:t>
      </w:r>
      <w:r w:rsidR="00A17DFC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limfocitų </w:t>
      </w:r>
      <w:r w:rsidR="00A17DFC" w:rsidRPr="000B1DA2">
        <w:rPr>
          <w:rFonts w:ascii="Helvetica" w:eastAsia="Times New Roman" w:hAnsi="Helvetica" w:cs="Arial"/>
          <w:sz w:val="20"/>
          <w:szCs w:val="24"/>
          <w:lang w:eastAsia="lt-LT"/>
        </w:rPr>
        <w:t>ateniuatoriaus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(BTLA)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T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ląstelių imunoreceptori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us su Ig ir ITIM domenais (TIGIT) inhibitori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CD47 inhibitori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indolamino-2,3-dioksigenazės (IDO) inhibitori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bispecifini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o antikūno prieš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CD3/CD20, kraujagyslių endotelio augimo faktori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(VEGF) antagonist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angiopoetin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-2 (Ang2)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transformuojančio augimo faktoriaus beta (TGFβ)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CD38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epidermio augimo faktoriaus receptor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(EGFR)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granul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ocitų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makrofagų kolonijas stimuliuojantis faktori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us (GM-CSF), ciklofosfami</w:t>
      </w:r>
      <w:r w:rsidR="00BD15FF" w:rsidRPr="000B1DA2">
        <w:rPr>
          <w:rFonts w:ascii="Helvetica" w:eastAsia="Times New Roman" w:hAnsi="Helvetica" w:cs="Arial"/>
          <w:sz w:val="20"/>
          <w:szCs w:val="24"/>
          <w:lang w:eastAsia="lt-LT"/>
        </w:rPr>
        <w:t>do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antikūn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navik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specifin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antigen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almet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-Ger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eno lazdelių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vakcin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citotoksin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interleukino 6 receptoriaus (IL-6R)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interleukino 4 receptoriaus (IL-4R)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IL-10 </w:t>
      </w:r>
      <w:r w:rsidR="00956DCF" w:rsidRPr="000B1DA2">
        <w:rPr>
          <w:rFonts w:ascii="Helvetica" w:eastAsia="Times New Roman" w:hAnsi="Helvetica" w:cs="Arial"/>
          <w:sz w:val="20"/>
          <w:szCs w:val="24"/>
          <w:lang w:eastAsia="lt-LT"/>
        </w:rPr>
        <w:t>inhibitoriaus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IL-2, IL-7, IL- 21, IL-15, antikūn</w:t>
      </w:r>
      <w:r w:rsidR="006C159F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ir vaistų konjugat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1A4D00" w:rsidRPr="000B1DA2">
        <w:rPr>
          <w:rFonts w:ascii="Helvetica" w:eastAsia="Times New Roman" w:hAnsi="Helvetica" w:cs="Arial"/>
          <w:sz w:val="20"/>
          <w:szCs w:val="24"/>
          <w:lang w:eastAsia="lt-LT"/>
        </w:rPr>
        <w:t>vaistų nuo uždegimo ir maisto papildų.</w:t>
      </w:r>
    </w:p>
    <w:p w14:paraId="484CBF76" w14:textId="48320C3A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359DD52" w14:textId="62E9832E" w:rsidR="0060676B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1-11 punktų, kur antikūnas arba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yra įvedam</w:t>
      </w:r>
      <w:r w:rsidR="0060676B" w:rsidRPr="000B1DA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0676B" w:rsidRPr="000B1DA2">
        <w:rPr>
          <w:rFonts w:ascii="Helvetica" w:eastAsia="Times New Roman" w:hAnsi="Helvetica" w:cs="Arial"/>
          <w:sz w:val="20"/>
          <w:szCs w:val="24"/>
          <w:lang w:eastAsia="lt-LT"/>
        </w:rPr>
        <w:t>į veną, po oda arba intraperitoniniu būdu.</w:t>
      </w:r>
    </w:p>
    <w:p w14:paraId="698C6941" w14:textId="430BF080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AAED3FB" w14:textId="2D63EED8" w:rsidR="0060676B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1-12 punktų, kur antikūnas arba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antigeną surišantis jo fragmentas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HCVR, </w:t>
      </w:r>
      <w:r w:rsidR="0060676B" w:rsidRPr="000B1DA2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ntį 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90% sekos tapatum</w:t>
      </w:r>
      <w:r w:rsidR="0060676B" w:rsidRPr="000B1DA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sekai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 ir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LCVR, 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pasižymintį bent </w:t>
      </w:r>
      <w:r w:rsidR="0060676B" w:rsidRPr="000B1DA2">
        <w:rPr>
          <w:rFonts w:ascii="Helvetica" w:eastAsia="Times New Roman" w:hAnsi="Helvetica" w:cs="Arial"/>
          <w:sz w:val="20"/>
          <w:szCs w:val="24"/>
          <w:lang w:eastAsia="lt-LT"/>
        </w:rPr>
        <w:t>90% sekos tapatumu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sekai</w:t>
      </w:r>
      <w:r w:rsidR="0060676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2.</w:t>
      </w:r>
    </w:p>
    <w:p w14:paraId="30071735" w14:textId="3C1639C3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B12099F" w14:textId="29CBC35C" w:rsidR="00591499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7497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1-13 punktų, kur HCVR apima aminorūgščių seką SEQ ID Nr. 1, o LCVR apima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>aminorūgščių seką SEQ ID Nr. 2.</w:t>
      </w:r>
    </w:p>
    <w:p w14:paraId="1E07E989" w14:textId="77777777" w:rsidR="006C159F" w:rsidRPr="000B1DA2" w:rsidRDefault="006C159F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5E7B078" w14:textId="233FC127" w:rsidR="000B1DA2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 arba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7497" w:rsidRPr="000B1DA2">
        <w:rPr>
          <w:rFonts w:ascii="Helvetica" w:eastAsia="Times New Roman" w:hAnsi="Helvetica" w:cs="Arial"/>
          <w:sz w:val="20"/>
          <w:szCs w:val="24"/>
          <w:lang w:eastAsia="lt-LT"/>
        </w:rPr>
        <w:t>antigeną surišantis jo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1-14 punktų, kur antikūnas apima sunkiąją grandinę, apimančią aminorūgščių seką SEQ ID Nr. 9, ir lengvąją grandinę, apimančią aminorūgščių seką: SEQ ID N</w:t>
      </w:r>
      <w:r w:rsidR="00051FCB" w:rsidRPr="000B1DA2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10.</w:t>
      </w:r>
    </w:p>
    <w:p w14:paraId="7FB87525" w14:textId="77777777" w:rsidR="000B1DA2" w:rsidRPr="000B1DA2" w:rsidRDefault="000B1DA2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BCBAD05" w14:textId="5469F3BD" w:rsidR="00FB71EB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B71EB" w:rsidRPr="000B1DA2">
        <w:rPr>
          <w:rFonts w:ascii="Helvetica" w:eastAsia="Times New Roman" w:hAnsi="Helvetica" w:cs="Arial"/>
          <w:sz w:val="20"/>
          <w:szCs w:val="24"/>
          <w:lang w:eastAsia="lt-LT"/>
        </w:rPr>
        <w:t>Antikūnas, kuris specifiškai rišasi su programuotos žūties baltymu 1 (PD-1), skirtas naudoti naviko gydymo arba augimo slopinimo būdui, minėtas būdas apima:</w:t>
      </w:r>
    </w:p>
    <w:p w14:paraId="3FB96013" w14:textId="77777777" w:rsidR="00FB71EB" w:rsidRPr="000B1DA2" w:rsidRDefault="00FB71EB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(a) paciento, sergančio lokaliai išplitusia bazalinių ląstelių karcinoma (BLK) arba metastazavusia BLK parinkimą</w:t>
      </w:r>
      <w:r w:rsidR="00A12942" w:rsidRPr="000B1DA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1294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kur paciento liga progresavo vartojant </w:t>
      </w:r>
      <w:r w:rsidR="00A12942" w:rsidRPr="000B1DA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hedgehog</w:t>
      </w:r>
      <w:r w:rsidR="00A1294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kelio inhibitorių arba jis jo netoleruoja;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45A788C7" w14:textId="77777777" w:rsidR="00A12942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(b) antikūno, specifiškai </w:t>
      </w:r>
      <w:r w:rsidR="00A12942" w:rsidRPr="000B1DA2">
        <w:rPr>
          <w:rFonts w:ascii="Helvetica" w:eastAsia="Times New Roman" w:hAnsi="Helvetica" w:cs="Arial"/>
          <w:sz w:val="20"/>
          <w:szCs w:val="24"/>
          <w:lang w:eastAsia="lt-LT"/>
        </w:rPr>
        <w:t>besiriš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A12942" w:rsidRPr="000B1DA2">
        <w:rPr>
          <w:rFonts w:ascii="Helvetica" w:eastAsia="Times New Roman" w:hAnsi="Helvetica" w:cs="Arial"/>
          <w:sz w:val="20"/>
          <w:szCs w:val="24"/>
          <w:lang w:eastAsia="lt-LT"/>
        </w:rPr>
        <w:t>nčio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su PD-1, 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350 mg dozės </w:t>
      </w:r>
      <w:r w:rsidR="00A1294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įvedamą į veną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kas tris savaites pacientui, kuriam </w:t>
      </w:r>
      <w:r w:rsidR="00A12942" w:rsidRPr="000B1DA2">
        <w:rPr>
          <w:rFonts w:ascii="Helvetica" w:eastAsia="Times New Roman" w:hAnsi="Helvetica" w:cs="Arial"/>
          <w:sz w:val="20"/>
          <w:szCs w:val="24"/>
          <w:lang w:eastAsia="lt-LT"/>
        </w:rPr>
        <w:t>yra reikalingas toks gydymas;</w:t>
      </w:r>
    </w:p>
    <w:p w14:paraId="473705E5" w14:textId="742898E5" w:rsidR="00591499" w:rsidRPr="000B1DA2" w:rsidRDefault="00FB71EB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kur antikūnas 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prieš PD-1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apima tris sunkiosios grandinės komplementarumą lemiančias sritis (HCDR1, HCDR2 ir HCDR3), </w:t>
      </w:r>
      <w:r w:rsidR="006C159F" w:rsidRPr="000B1DA2">
        <w:rPr>
          <w:rFonts w:ascii="Helvetica" w:eastAsia="Times New Roman" w:hAnsi="Helvetica" w:cs="Arial"/>
          <w:sz w:val="20"/>
          <w:szCs w:val="24"/>
          <w:lang w:eastAsia="lt-LT"/>
        </w:rPr>
        <w:t>gau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tas iš sunkiosios grandinės kintamos srities (HCVR),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ir tris lengvosios grandinės komplementarumą lemiančias sritis (LCDR1, LCDR2 ir LCDR3), </w:t>
      </w:r>
      <w:r w:rsidR="006C159F" w:rsidRPr="000B1DA2">
        <w:rPr>
          <w:rFonts w:ascii="Helvetica" w:eastAsia="Times New Roman" w:hAnsi="Helvetica" w:cs="Arial"/>
          <w:sz w:val="20"/>
          <w:szCs w:val="24"/>
          <w:lang w:eastAsia="lt-LT"/>
        </w:rPr>
        <w:t>gau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tas iš lengvosios grandinės kintamos srities (LCVR), kur HCDR1 apima aminorūgščių seką SEQ ID Nr. 3; HCDR2 apima aminorūgščių seką SEQ ID Nr. 4; HCDR3 apima aminorūgščių seką SEQ ID Nr. 5; LCDR1 apima aminorūgščių seką SEQ ID Nr. 6; LCDR2 apima aminorūgščių seką SEQ ID Nr. 7; ir LCDR3 apima aminorūgščių seką SEQ ID Nr. 8.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146B56ED" w14:textId="77777777" w:rsidR="000B1DA2" w:rsidRPr="000B1DA2" w:rsidRDefault="000B1DA2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4EA0699" w14:textId="63F0E064" w:rsidR="00A9771D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16 punktą, kur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7497" w:rsidRPr="000B1DA2">
        <w:rPr>
          <w:rFonts w:ascii="Helvetica" w:eastAsia="Times New Roman" w:hAnsi="Helvetica" w:cs="Arial"/>
          <w:sz w:val="20"/>
          <w:szCs w:val="24"/>
          <w:lang w:eastAsia="lt-LT"/>
        </w:rPr>
        <w:t>prieš PD-1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HCVR, apiman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, ir LCVR, apimančią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2.</w:t>
      </w:r>
    </w:p>
    <w:p w14:paraId="410BDE58" w14:textId="3BB2D0D2" w:rsidR="00591499" w:rsidRPr="000B1DA2" w:rsidRDefault="00591499" w:rsidP="000B1DA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5DA9BC" w14:textId="0766C3EA" w:rsidR="00591499" w:rsidRPr="000B1DA2" w:rsidRDefault="00591499" w:rsidP="000B1DA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0B1DA2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skirtas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F3C3B" w:rsidRPr="000B1DA2">
        <w:rPr>
          <w:rFonts w:ascii="Helvetica" w:eastAsia="Times New Roman" w:hAnsi="Helvetica" w:cs="Arial"/>
          <w:sz w:val="20"/>
          <w:szCs w:val="24"/>
          <w:lang w:eastAsia="lt-LT"/>
        </w:rPr>
        <w:t>būdui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16 arba 17 punktą, kur 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</w:t>
      </w:r>
      <w:r w:rsidR="00EF7497" w:rsidRPr="000B1DA2">
        <w:rPr>
          <w:rFonts w:ascii="Helvetica" w:eastAsia="Times New Roman" w:hAnsi="Helvetica" w:cs="Arial"/>
          <w:sz w:val="20"/>
          <w:szCs w:val="24"/>
          <w:lang w:eastAsia="lt-LT"/>
        </w:rPr>
        <w:t>prieš PD-1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sunkiąją grandinę, apimančią aminorūgščių seką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9</w:t>
      </w:r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, ir lengvąją grandinę, apimančią </w:t>
      </w:r>
      <w:r w:rsidR="00A9771D" w:rsidRPr="000B1DA2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 </w:t>
      </w:r>
      <w:bookmarkStart w:id="0" w:name="_Hlk126098122"/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SEQ ID Nr. 10</w:t>
      </w:r>
      <w:bookmarkEnd w:id="0"/>
      <w:r w:rsidRPr="000B1DA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591499" w:rsidRPr="000B1DA2" w:rsidSect="000B1DA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416D" w14:textId="77777777" w:rsidR="00B43E6A" w:rsidRDefault="00B43E6A" w:rsidP="00EF5584">
      <w:pPr>
        <w:spacing w:after="0" w:line="240" w:lineRule="auto"/>
      </w:pPr>
      <w:r>
        <w:separator/>
      </w:r>
    </w:p>
  </w:endnote>
  <w:endnote w:type="continuationSeparator" w:id="0">
    <w:p w14:paraId="6F0DF9B8" w14:textId="77777777" w:rsidR="00B43E6A" w:rsidRDefault="00B43E6A" w:rsidP="00EF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D751" w14:textId="77777777" w:rsidR="00B43E6A" w:rsidRDefault="00B43E6A" w:rsidP="00EF5584">
      <w:pPr>
        <w:spacing w:after="0" w:line="240" w:lineRule="auto"/>
      </w:pPr>
      <w:r>
        <w:separator/>
      </w:r>
    </w:p>
  </w:footnote>
  <w:footnote w:type="continuationSeparator" w:id="0">
    <w:p w14:paraId="485D9B39" w14:textId="77777777" w:rsidR="00B43E6A" w:rsidRDefault="00B43E6A" w:rsidP="00EF5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99"/>
    <w:rsid w:val="00037692"/>
    <w:rsid w:val="00051FCB"/>
    <w:rsid w:val="000B1DA2"/>
    <w:rsid w:val="00173EDA"/>
    <w:rsid w:val="001A4D00"/>
    <w:rsid w:val="0021299F"/>
    <w:rsid w:val="002643A1"/>
    <w:rsid w:val="00294B4B"/>
    <w:rsid w:val="003C1D6E"/>
    <w:rsid w:val="004173F5"/>
    <w:rsid w:val="0047332F"/>
    <w:rsid w:val="004C5E11"/>
    <w:rsid w:val="00591499"/>
    <w:rsid w:val="0060676B"/>
    <w:rsid w:val="00676601"/>
    <w:rsid w:val="006C159F"/>
    <w:rsid w:val="0070039C"/>
    <w:rsid w:val="007876F4"/>
    <w:rsid w:val="00795118"/>
    <w:rsid w:val="00795CDE"/>
    <w:rsid w:val="007B5420"/>
    <w:rsid w:val="00846CB3"/>
    <w:rsid w:val="008F4495"/>
    <w:rsid w:val="00934A5A"/>
    <w:rsid w:val="00956DCF"/>
    <w:rsid w:val="00A03505"/>
    <w:rsid w:val="00A12942"/>
    <w:rsid w:val="00A17DFC"/>
    <w:rsid w:val="00A9771D"/>
    <w:rsid w:val="00B43E6A"/>
    <w:rsid w:val="00BD15FF"/>
    <w:rsid w:val="00C62B1F"/>
    <w:rsid w:val="00DF3C3B"/>
    <w:rsid w:val="00EF5584"/>
    <w:rsid w:val="00EF7497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76509"/>
  <w15:chartTrackingRefBased/>
  <w15:docId w15:val="{A164DE13-E7AC-495E-90A0-AFEAD029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84"/>
  </w:style>
  <w:style w:type="paragraph" w:styleId="Footer">
    <w:name w:val="footer"/>
    <w:basedOn w:val="Normal"/>
    <w:link w:val="FooterChar"/>
    <w:uiPriority w:val="99"/>
    <w:unhideWhenUsed/>
    <w:rsid w:val="00EF5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84"/>
  </w:style>
  <w:style w:type="paragraph" w:styleId="ListParagraph">
    <w:name w:val="List Paragraph"/>
    <w:basedOn w:val="Normal"/>
    <w:uiPriority w:val="34"/>
    <w:qFormat/>
    <w:rsid w:val="00C6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1079</Words>
  <Characters>6744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2023-02-09T11:21:00Z</dcterms:created>
  <dcterms:modified xsi:type="dcterms:W3CDTF">2023-02-09T11:21:00Z</dcterms:modified>
</cp:coreProperties>
</file>