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4CAE" w14:textId="6E4D35BF" w:rsidR="0042074E" w:rsidRPr="00740992" w:rsidRDefault="0042074E" w:rsidP="00740992">
      <w:pPr>
        <w:tabs>
          <w:tab w:val="left" w:pos="851"/>
        </w:tabs>
        <w:spacing w:after="0" w:line="360" w:lineRule="auto"/>
        <w:ind w:firstLine="567"/>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1.</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Farmacinė kompozicija, skirta švirkšti į raumenis arba po oda, apimanti gydomuoju poveikiu pasižymintį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arba farmaciniu požiūriu priimtinos jo druskos kiekį </w:t>
      </w:r>
      <w:proofErr w:type="spellStart"/>
      <w:r w:rsidRPr="00740992">
        <w:rPr>
          <w:rFonts w:ascii="Helvetica" w:hAnsi="Helvetica" w:cs="Helvetica"/>
          <w:color w:val="000000"/>
          <w:sz w:val="20"/>
          <w:szCs w:val="24"/>
          <w:lang w:val="lt-LT"/>
        </w:rPr>
        <w:t>mikro</w:t>
      </w:r>
      <w:proofErr w:type="spellEnd"/>
      <w:r w:rsidRPr="00740992">
        <w:rPr>
          <w:rFonts w:ascii="Helvetica" w:hAnsi="Helvetica" w:cs="Helvetica"/>
          <w:color w:val="000000"/>
          <w:sz w:val="20"/>
          <w:szCs w:val="24"/>
          <w:lang w:val="lt-LT"/>
        </w:rPr>
        <w:t xml:space="preserve">- arba </w:t>
      </w:r>
      <w:proofErr w:type="spellStart"/>
      <w:r w:rsidRPr="00740992">
        <w:rPr>
          <w:rFonts w:ascii="Helvetica" w:hAnsi="Helvetica" w:cs="Helvetica"/>
          <w:color w:val="000000"/>
          <w:sz w:val="20"/>
          <w:szCs w:val="24"/>
          <w:lang w:val="lt-LT"/>
        </w:rPr>
        <w:t>nanodalelių</w:t>
      </w:r>
      <w:proofErr w:type="spellEnd"/>
      <w:r w:rsidRPr="00740992">
        <w:rPr>
          <w:rFonts w:ascii="Helvetica" w:hAnsi="Helvetica" w:cs="Helvetica"/>
          <w:color w:val="000000"/>
          <w:sz w:val="20"/>
          <w:szCs w:val="24"/>
          <w:lang w:val="lt-LT"/>
        </w:rPr>
        <w:t xml:space="preserve"> suspensijos pavidalu, apimanti:</w:t>
      </w:r>
    </w:p>
    <w:p w14:paraId="708E823B" w14:textId="4C53F5E9"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(a)</w:t>
      </w:r>
      <w:r w:rsidR="00182B52"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bedakviliną</w:t>
      </w:r>
      <w:proofErr w:type="spellEnd"/>
      <w:r w:rsidRPr="00740992">
        <w:rPr>
          <w:rFonts w:ascii="Helvetica" w:hAnsi="Helvetica" w:cs="Helvetica"/>
          <w:color w:val="000000"/>
          <w:sz w:val="20"/>
          <w:szCs w:val="24"/>
          <w:lang w:val="lt-LT"/>
        </w:rPr>
        <w:t xml:space="preserve"> arba farmaciniu požiūriu priimtiną jo druską </w:t>
      </w:r>
      <w:proofErr w:type="spellStart"/>
      <w:r w:rsidRPr="00740992">
        <w:rPr>
          <w:rFonts w:ascii="Helvetica" w:hAnsi="Helvetica" w:cs="Helvetica"/>
          <w:color w:val="000000"/>
          <w:sz w:val="20"/>
          <w:szCs w:val="24"/>
          <w:lang w:val="lt-LT"/>
        </w:rPr>
        <w:t>mikro</w:t>
      </w:r>
      <w:proofErr w:type="spellEnd"/>
      <w:r w:rsidRPr="00740992">
        <w:rPr>
          <w:rFonts w:ascii="Helvetica" w:hAnsi="Helvetica" w:cs="Helvetica"/>
          <w:color w:val="000000"/>
          <w:sz w:val="20"/>
          <w:szCs w:val="24"/>
          <w:lang w:val="lt-LT"/>
        </w:rPr>
        <w:t xml:space="preserve">- arba </w:t>
      </w:r>
      <w:proofErr w:type="spellStart"/>
      <w:r w:rsidRPr="00740992">
        <w:rPr>
          <w:rFonts w:ascii="Helvetica" w:hAnsi="Helvetica" w:cs="Helvetica"/>
          <w:color w:val="000000"/>
          <w:sz w:val="20"/>
          <w:szCs w:val="24"/>
          <w:lang w:val="lt-LT"/>
        </w:rPr>
        <w:t>nanodalelių</w:t>
      </w:r>
      <w:proofErr w:type="spellEnd"/>
      <w:r w:rsidRPr="00740992">
        <w:rPr>
          <w:rFonts w:ascii="Helvetica" w:hAnsi="Helvetica" w:cs="Helvetica"/>
          <w:color w:val="000000"/>
          <w:sz w:val="20"/>
          <w:szCs w:val="24"/>
          <w:lang w:val="lt-LT"/>
        </w:rPr>
        <w:t xml:space="preserve"> pavidalu su prie jo paviršiaus </w:t>
      </w:r>
      <w:proofErr w:type="spellStart"/>
      <w:r w:rsidRPr="00740992">
        <w:rPr>
          <w:rFonts w:ascii="Helvetica" w:hAnsi="Helvetica" w:cs="Helvetica"/>
          <w:color w:val="000000"/>
          <w:sz w:val="20"/>
          <w:szCs w:val="24"/>
          <w:lang w:val="lt-LT"/>
        </w:rPr>
        <w:t>adsorbuotu</w:t>
      </w:r>
      <w:proofErr w:type="spellEnd"/>
      <w:r w:rsidRPr="00740992">
        <w:rPr>
          <w:rFonts w:ascii="Helvetica" w:hAnsi="Helvetica" w:cs="Helvetica"/>
          <w:color w:val="000000"/>
          <w:sz w:val="20"/>
          <w:szCs w:val="24"/>
          <w:lang w:val="lt-LT"/>
        </w:rPr>
        <w:t xml:space="preserve"> paviršiaus modifikatoriumi ir</w:t>
      </w:r>
    </w:p>
    <w:p w14:paraId="2626F52A" w14:textId="47949543" w:rsidR="0042074E" w:rsidRPr="00740992" w:rsidRDefault="0042074E" w:rsidP="00740992">
      <w:pPr>
        <w:tabs>
          <w:tab w:val="left" w:pos="851"/>
        </w:tabs>
        <w:spacing w:after="0" w:line="360" w:lineRule="auto"/>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(b)</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farmaciniu požiūriu priimtiną vandeninį nešiklį, kuriame suspenduota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veiklioji medžiaga.</w:t>
      </w:r>
    </w:p>
    <w:p w14:paraId="0263036A"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3F981D1B" w14:textId="6898EADF" w:rsidR="0042074E" w:rsidRPr="00740992" w:rsidRDefault="0042074E" w:rsidP="00740992">
      <w:pPr>
        <w:tabs>
          <w:tab w:val="left" w:pos="851"/>
        </w:tabs>
        <w:spacing w:after="0" w:line="360" w:lineRule="auto"/>
        <w:ind w:firstLine="567"/>
        <w:jc w:val="both"/>
        <w:rPr>
          <w:rFonts w:ascii="Helvetica" w:hAnsi="Helvetica" w:cs="Helvetica"/>
          <w:color w:val="000000"/>
          <w:spacing w:val="-4"/>
          <w:sz w:val="20"/>
          <w:szCs w:val="24"/>
          <w:lang w:val="lt-LT"/>
        </w:rPr>
      </w:pPr>
      <w:r w:rsidRPr="00740992">
        <w:rPr>
          <w:rFonts w:ascii="Helvetica" w:hAnsi="Helvetica" w:cs="Helvetica"/>
          <w:color w:val="000000"/>
          <w:spacing w:val="-4"/>
          <w:sz w:val="20"/>
          <w:szCs w:val="24"/>
          <w:lang w:val="lt-LT"/>
        </w:rPr>
        <w:t>2.</w:t>
      </w:r>
      <w:r w:rsidR="00182B52" w:rsidRPr="00740992">
        <w:rPr>
          <w:rFonts w:ascii="Helvetica" w:hAnsi="Helvetica" w:cs="Helvetica"/>
          <w:color w:val="000000"/>
          <w:spacing w:val="-4"/>
          <w:sz w:val="20"/>
          <w:szCs w:val="24"/>
          <w:lang w:val="lt-LT"/>
        </w:rPr>
        <w:t xml:space="preserve"> </w:t>
      </w:r>
      <w:r w:rsidRPr="00740992">
        <w:rPr>
          <w:rFonts w:ascii="Helvetica" w:hAnsi="Helvetica" w:cs="Helvetica"/>
          <w:color w:val="000000"/>
          <w:spacing w:val="-4"/>
          <w:sz w:val="20"/>
          <w:szCs w:val="24"/>
          <w:lang w:val="lt-LT"/>
        </w:rPr>
        <w:t xml:space="preserve">Kompozicija pagal 1 punktą, kurioje paviršiaus modifikatorius yra parinktas iš </w:t>
      </w:r>
      <w:proofErr w:type="spellStart"/>
      <w:r w:rsidRPr="00740992">
        <w:rPr>
          <w:rFonts w:ascii="Helvetica" w:hAnsi="Helvetica" w:cs="Helvetica"/>
          <w:color w:val="000000"/>
          <w:spacing w:val="-4"/>
          <w:sz w:val="20"/>
          <w:szCs w:val="24"/>
          <w:lang w:val="lt-LT"/>
        </w:rPr>
        <w:t>poloksamerų</w:t>
      </w:r>
      <w:proofErr w:type="spellEnd"/>
      <w:r w:rsidRPr="00740992">
        <w:rPr>
          <w:rFonts w:ascii="Helvetica" w:hAnsi="Helvetica" w:cs="Helvetica"/>
          <w:color w:val="000000"/>
          <w:spacing w:val="-4"/>
          <w:sz w:val="20"/>
          <w:szCs w:val="24"/>
          <w:lang w:val="lt-LT"/>
        </w:rPr>
        <w:t xml:space="preserve"> grupės, α-</w:t>
      </w:r>
      <w:proofErr w:type="spellStart"/>
      <w:r w:rsidRPr="00740992">
        <w:rPr>
          <w:rFonts w:ascii="Helvetica" w:hAnsi="Helvetica" w:cs="Helvetica"/>
          <w:color w:val="000000"/>
          <w:spacing w:val="-4"/>
          <w:sz w:val="20"/>
          <w:szCs w:val="24"/>
          <w:lang w:val="lt-LT"/>
        </w:rPr>
        <w:t>tokoferilo</w:t>
      </w:r>
      <w:proofErr w:type="spellEnd"/>
      <w:r w:rsidRPr="00740992">
        <w:rPr>
          <w:rFonts w:ascii="Helvetica" w:hAnsi="Helvetica" w:cs="Helvetica"/>
          <w:color w:val="000000"/>
          <w:spacing w:val="-4"/>
          <w:sz w:val="20"/>
          <w:szCs w:val="24"/>
          <w:lang w:val="lt-LT"/>
        </w:rPr>
        <w:t xml:space="preserve"> </w:t>
      </w:r>
      <w:proofErr w:type="spellStart"/>
      <w:r w:rsidRPr="00740992">
        <w:rPr>
          <w:rFonts w:ascii="Helvetica" w:hAnsi="Helvetica" w:cs="Helvetica"/>
          <w:color w:val="000000"/>
          <w:spacing w:val="-4"/>
          <w:sz w:val="20"/>
          <w:szCs w:val="24"/>
          <w:lang w:val="lt-LT"/>
        </w:rPr>
        <w:t>polietilenglikolio</w:t>
      </w:r>
      <w:proofErr w:type="spellEnd"/>
      <w:r w:rsidRPr="00740992">
        <w:rPr>
          <w:rFonts w:ascii="Helvetica" w:hAnsi="Helvetica" w:cs="Helvetica"/>
          <w:color w:val="000000"/>
          <w:spacing w:val="-4"/>
          <w:sz w:val="20"/>
          <w:szCs w:val="24"/>
          <w:lang w:val="lt-LT"/>
        </w:rPr>
        <w:t xml:space="preserve"> </w:t>
      </w:r>
      <w:proofErr w:type="spellStart"/>
      <w:r w:rsidRPr="00740992">
        <w:rPr>
          <w:rFonts w:ascii="Helvetica" w:hAnsi="Helvetica" w:cs="Helvetica"/>
          <w:color w:val="000000"/>
          <w:spacing w:val="-4"/>
          <w:sz w:val="20"/>
          <w:szCs w:val="24"/>
          <w:lang w:val="lt-LT"/>
        </w:rPr>
        <w:t>sukcinatų</w:t>
      </w:r>
      <w:proofErr w:type="spellEnd"/>
      <w:r w:rsidRPr="00740992">
        <w:rPr>
          <w:rFonts w:ascii="Helvetica" w:hAnsi="Helvetica" w:cs="Helvetica"/>
          <w:color w:val="000000"/>
          <w:spacing w:val="-4"/>
          <w:sz w:val="20"/>
          <w:szCs w:val="24"/>
          <w:lang w:val="lt-LT"/>
        </w:rPr>
        <w:t xml:space="preserve">, </w:t>
      </w:r>
      <w:proofErr w:type="spellStart"/>
      <w:r w:rsidRPr="00740992">
        <w:rPr>
          <w:rFonts w:ascii="Helvetica" w:hAnsi="Helvetica" w:cs="Helvetica"/>
          <w:color w:val="000000"/>
          <w:spacing w:val="-4"/>
          <w:sz w:val="20"/>
          <w:szCs w:val="24"/>
          <w:lang w:val="lt-LT"/>
        </w:rPr>
        <w:t>polioksietileno</w:t>
      </w:r>
      <w:proofErr w:type="spellEnd"/>
      <w:r w:rsidRPr="00740992">
        <w:rPr>
          <w:rFonts w:ascii="Helvetica" w:hAnsi="Helvetica" w:cs="Helvetica"/>
          <w:color w:val="000000"/>
          <w:spacing w:val="-4"/>
          <w:sz w:val="20"/>
          <w:szCs w:val="24"/>
          <w:lang w:val="lt-LT"/>
        </w:rPr>
        <w:t xml:space="preserve"> </w:t>
      </w:r>
      <w:proofErr w:type="spellStart"/>
      <w:r w:rsidRPr="00740992">
        <w:rPr>
          <w:rFonts w:ascii="Helvetica" w:hAnsi="Helvetica" w:cs="Helvetica"/>
          <w:color w:val="000000"/>
          <w:spacing w:val="-4"/>
          <w:sz w:val="20"/>
          <w:szCs w:val="24"/>
          <w:lang w:val="lt-LT"/>
        </w:rPr>
        <w:t>sorbitano</w:t>
      </w:r>
      <w:proofErr w:type="spellEnd"/>
      <w:r w:rsidRPr="00740992">
        <w:rPr>
          <w:rFonts w:ascii="Helvetica" w:hAnsi="Helvetica" w:cs="Helvetica"/>
          <w:color w:val="000000"/>
          <w:spacing w:val="-4"/>
          <w:sz w:val="20"/>
          <w:szCs w:val="24"/>
          <w:lang w:val="lt-LT"/>
        </w:rPr>
        <w:t xml:space="preserve"> riebalų rūgščių esterių ir neigiamo krūvio fosfolipidų druskų. </w:t>
      </w:r>
    </w:p>
    <w:p w14:paraId="68BB3050"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spacing w:val="-4"/>
          <w:kern w:val="0"/>
          <w:sz w:val="20"/>
          <w:szCs w:val="24"/>
          <w:lang w:val="lt-LT"/>
          <w14:ligatures w14:val="none"/>
        </w:rPr>
      </w:pPr>
    </w:p>
    <w:p w14:paraId="49A16E46" w14:textId="7901D005"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3.</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Kompozicija pagal 1 arba 2 punktą, kurioje </w:t>
      </w:r>
      <w:proofErr w:type="spellStart"/>
      <w:r w:rsidRPr="00740992">
        <w:rPr>
          <w:rFonts w:ascii="Helvetica" w:hAnsi="Helvetica" w:cs="Helvetica"/>
          <w:color w:val="000000"/>
          <w:sz w:val="20"/>
          <w:szCs w:val="24"/>
          <w:lang w:val="lt-LT"/>
        </w:rPr>
        <w:t>bedakvilinas</w:t>
      </w:r>
      <w:proofErr w:type="spellEnd"/>
      <w:r w:rsidRPr="00740992">
        <w:rPr>
          <w:rFonts w:ascii="Helvetica" w:hAnsi="Helvetica" w:cs="Helvetica"/>
          <w:color w:val="000000"/>
          <w:sz w:val="20"/>
          <w:szCs w:val="24"/>
          <w:lang w:val="lt-LT"/>
        </w:rPr>
        <w:t xml:space="preserve"> yra bedruskės arba laisvos formos, arba </w:t>
      </w:r>
      <w:proofErr w:type="spellStart"/>
      <w:r w:rsidRPr="00740992">
        <w:rPr>
          <w:rFonts w:ascii="Helvetica" w:hAnsi="Helvetica" w:cs="Helvetica"/>
          <w:color w:val="000000"/>
          <w:sz w:val="20"/>
          <w:szCs w:val="24"/>
          <w:lang w:val="lt-LT"/>
        </w:rPr>
        <w:t>fumarato</w:t>
      </w:r>
      <w:proofErr w:type="spellEnd"/>
      <w:r w:rsidRPr="00740992">
        <w:rPr>
          <w:rFonts w:ascii="Helvetica" w:hAnsi="Helvetica" w:cs="Helvetica"/>
          <w:color w:val="000000"/>
          <w:sz w:val="20"/>
          <w:szCs w:val="24"/>
          <w:lang w:val="lt-LT"/>
        </w:rPr>
        <w:t xml:space="preserve"> druskos pavidalo. </w:t>
      </w:r>
    </w:p>
    <w:p w14:paraId="6530263D"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5110489F" w14:textId="032C7A1F"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4.</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Kompozicija pagal bet kurį iš 1–3 punktų, kurioje paviršiaus modifikatorius yra parinktas iš </w:t>
      </w:r>
      <w:proofErr w:type="spellStart"/>
      <w:r w:rsidRPr="00740992">
        <w:rPr>
          <w:rFonts w:ascii="Helvetica" w:hAnsi="Helvetica" w:cs="Helvetica"/>
          <w:color w:val="000000"/>
          <w:sz w:val="20"/>
          <w:szCs w:val="24"/>
          <w:lang w:val="lt-LT"/>
        </w:rPr>
        <w:t>poloksamero</w:t>
      </w:r>
      <w:proofErr w:type="spellEnd"/>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Pluronic</w:t>
      </w:r>
      <w:proofErr w:type="spellEnd"/>
      <w:r w:rsidRPr="00740992">
        <w:rPr>
          <w:rFonts w:ascii="Helvetica" w:hAnsi="Helvetica" w:cs="Helvetica"/>
          <w:color w:val="000000"/>
          <w:sz w:val="20"/>
          <w:szCs w:val="24"/>
          <w:vertAlign w:val="superscript"/>
          <w:lang w:val="lt-LT"/>
        </w:rPr>
        <w:t>™</w:t>
      </w:r>
      <w:r w:rsidRPr="00740992">
        <w:rPr>
          <w:rFonts w:ascii="Helvetica" w:hAnsi="Helvetica" w:cs="Helvetica"/>
          <w:color w:val="000000"/>
          <w:sz w:val="20"/>
          <w:szCs w:val="24"/>
          <w:lang w:val="lt-LT"/>
        </w:rPr>
        <w:t xml:space="preserve"> F108, vitamino E TGPS, </w:t>
      </w:r>
      <w:proofErr w:type="spellStart"/>
      <w:r w:rsidRPr="00740992">
        <w:rPr>
          <w:rFonts w:ascii="Helvetica" w:hAnsi="Helvetica" w:cs="Helvetica"/>
          <w:color w:val="000000"/>
          <w:sz w:val="20"/>
          <w:szCs w:val="24"/>
          <w:lang w:val="lt-LT"/>
        </w:rPr>
        <w:t>polioksietileno</w:t>
      </w:r>
      <w:proofErr w:type="spellEnd"/>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sorbitano</w:t>
      </w:r>
      <w:proofErr w:type="spellEnd"/>
      <w:r w:rsidRPr="00740992">
        <w:rPr>
          <w:rFonts w:ascii="Helvetica" w:hAnsi="Helvetica" w:cs="Helvetica"/>
          <w:color w:val="000000"/>
          <w:sz w:val="20"/>
          <w:szCs w:val="24"/>
          <w:lang w:val="lt-LT"/>
        </w:rPr>
        <w:t xml:space="preserve"> riebalų rūgščių esterio </w:t>
      </w:r>
      <w:proofErr w:type="spellStart"/>
      <w:r w:rsidRPr="00740992">
        <w:rPr>
          <w:rFonts w:ascii="Helvetica" w:hAnsi="Helvetica" w:cs="Helvetica"/>
          <w:color w:val="000000"/>
          <w:sz w:val="20"/>
          <w:szCs w:val="24"/>
          <w:lang w:val="lt-LT"/>
        </w:rPr>
        <w:t>Tween</w:t>
      </w:r>
      <w:proofErr w:type="spellEnd"/>
      <w:r w:rsidRPr="00740992">
        <w:rPr>
          <w:rFonts w:ascii="Helvetica" w:hAnsi="Helvetica" w:cs="Helvetica"/>
          <w:color w:val="000000"/>
          <w:sz w:val="20"/>
          <w:szCs w:val="24"/>
          <w:vertAlign w:val="superscript"/>
          <w:lang w:val="lt-LT"/>
        </w:rPr>
        <w:t>™</w:t>
      </w:r>
      <w:r w:rsidRPr="00740992">
        <w:rPr>
          <w:rFonts w:ascii="Helvetica" w:hAnsi="Helvetica" w:cs="Helvetica"/>
          <w:color w:val="000000"/>
          <w:sz w:val="20"/>
          <w:szCs w:val="24"/>
          <w:lang w:val="lt-LT"/>
        </w:rPr>
        <w:t xml:space="preserve"> 80 ir kiaušinių </w:t>
      </w:r>
      <w:proofErr w:type="spellStart"/>
      <w:r w:rsidRPr="00740992">
        <w:rPr>
          <w:rFonts w:ascii="Helvetica" w:hAnsi="Helvetica" w:cs="Helvetica"/>
          <w:color w:val="000000"/>
          <w:sz w:val="20"/>
          <w:szCs w:val="24"/>
          <w:lang w:val="lt-LT"/>
        </w:rPr>
        <w:t>fosfatidilo</w:t>
      </w:r>
      <w:proofErr w:type="spellEnd"/>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glicerolio</w:t>
      </w:r>
      <w:proofErr w:type="spellEnd"/>
      <w:r w:rsidRPr="00740992">
        <w:rPr>
          <w:rFonts w:ascii="Helvetica" w:hAnsi="Helvetica" w:cs="Helvetica"/>
          <w:color w:val="000000"/>
          <w:sz w:val="20"/>
          <w:szCs w:val="24"/>
          <w:lang w:val="lt-LT"/>
        </w:rPr>
        <w:t xml:space="preserve"> natrio druskos </w:t>
      </w:r>
      <w:proofErr w:type="spellStart"/>
      <w:r w:rsidRPr="00740992">
        <w:rPr>
          <w:rFonts w:ascii="Helvetica" w:hAnsi="Helvetica" w:cs="Helvetica"/>
          <w:color w:val="000000"/>
          <w:sz w:val="20"/>
          <w:szCs w:val="24"/>
          <w:lang w:val="lt-LT"/>
        </w:rPr>
        <w:t>Lipoid</w:t>
      </w:r>
      <w:proofErr w:type="spellEnd"/>
      <w:r w:rsidRPr="00740992">
        <w:rPr>
          <w:rFonts w:ascii="Helvetica" w:hAnsi="Helvetica" w:cs="Helvetica"/>
          <w:color w:val="000000"/>
          <w:sz w:val="20"/>
          <w:szCs w:val="24"/>
          <w:vertAlign w:val="superscript"/>
          <w:lang w:val="lt-LT"/>
        </w:rPr>
        <w:t>™</w:t>
      </w:r>
      <w:r w:rsidRPr="00740992">
        <w:rPr>
          <w:rFonts w:ascii="Helvetica" w:hAnsi="Helvetica" w:cs="Helvetica"/>
          <w:color w:val="000000"/>
          <w:sz w:val="20"/>
          <w:szCs w:val="24"/>
          <w:lang w:val="lt-LT"/>
        </w:rPr>
        <w:t> EPG. </w:t>
      </w:r>
    </w:p>
    <w:p w14:paraId="0EB0ECA4"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78BEE9C1" w14:textId="5CBD8F42"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5.</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Kompozicija pagal bet kurį iš 1–4 punktų, kurioje vidutinis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arba farmaciniu požiūriu priimtinos jo druskos efektyvusis </w:t>
      </w:r>
      <w:proofErr w:type="spellStart"/>
      <w:r w:rsidRPr="00740992">
        <w:rPr>
          <w:rFonts w:ascii="Helvetica" w:hAnsi="Helvetica" w:cs="Helvetica"/>
          <w:color w:val="000000"/>
          <w:sz w:val="20"/>
          <w:szCs w:val="24"/>
          <w:lang w:val="lt-LT"/>
        </w:rPr>
        <w:t>mikro</w:t>
      </w:r>
      <w:proofErr w:type="spellEnd"/>
      <w:r w:rsidRPr="00740992">
        <w:rPr>
          <w:rFonts w:ascii="Helvetica" w:hAnsi="Helvetica" w:cs="Helvetica"/>
          <w:color w:val="000000"/>
          <w:sz w:val="20"/>
          <w:szCs w:val="24"/>
          <w:lang w:val="lt-LT"/>
        </w:rPr>
        <w:t xml:space="preserve">- arba </w:t>
      </w:r>
      <w:proofErr w:type="spellStart"/>
      <w:r w:rsidRPr="00740992">
        <w:rPr>
          <w:rFonts w:ascii="Helvetica" w:hAnsi="Helvetica" w:cs="Helvetica"/>
          <w:color w:val="000000"/>
          <w:sz w:val="20"/>
          <w:szCs w:val="24"/>
          <w:lang w:val="lt-LT"/>
        </w:rPr>
        <w:t>nanodalelių</w:t>
      </w:r>
      <w:proofErr w:type="spellEnd"/>
      <w:r w:rsidRPr="00740992">
        <w:rPr>
          <w:rFonts w:ascii="Helvetica" w:hAnsi="Helvetica" w:cs="Helvetica"/>
          <w:color w:val="000000"/>
          <w:sz w:val="20"/>
          <w:szCs w:val="24"/>
          <w:lang w:val="lt-LT"/>
        </w:rPr>
        <w:t xml:space="preserve"> dydis yra mažesnis nei maždaug 50 µm, o ypač mažesnis nei maždaug 200 </w:t>
      </w:r>
      <w:proofErr w:type="spellStart"/>
      <w:r w:rsidRPr="00740992">
        <w:rPr>
          <w:rFonts w:ascii="Helvetica" w:hAnsi="Helvetica" w:cs="Helvetica"/>
          <w:color w:val="000000"/>
          <w:sz w:val="20"/>
          <w:szCs w:val="24"/>
          <w:lang w:val="lt-LT"/>
        </w:rPr>
        <w:t>nm</w:t>
      </w:r>
      <w:proofErr w:type="spellEnd"/>
      <w:r w:rsidRPr="00740992">
        <w:rPr>
          <w:rFonts w:ascii="Helvetica" w:hAnsi="Helvetica" w:cs="Helvetica"/>
          <w:color w:val="000000"/>
          <w:sz w:val="20"/>
          <w:szCs w:val="24"/>
          <w:lang w:val="lt-LT"/>
        </w:rPr>
        <w:t>. </w:t>
      </w:r>
    </w:p>
    <w:p w14:paraId="3C06D03A"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4F1A83D4" w14:textId="46E51399"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6.</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Kompozicija pagal bet kurį iš 1–4 punktų, kurioje vidutinis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arba farmaciniu požiūriu priimtinos jo druskos efektyvusis </w:t>
      </w:r>
      <w:proofErr w:type="spellStart"/>
      <w:r w:rsidRPr="00740992">
        <w:rPr>
          <w:rFonts w:ascii="Helvetica" w:hAnsi="Helvetica" w:cs="Helvetica"/>
          <w:color w:val="000000"/>
          <w:sz w:val="20"/>
          <w:szCs w:val="24"/>
          <w:lang w:val="lt-LT"/>
        </w:rPr>
        <w:t>mikro</w:t>
      </w:r>
      <w:proofErr w:type="spellEnd"/>
      <w:r w:rsidRPr="00740992">
        <w:rPr>
          <w:rFonts w:ascii="Helvetica" w:hAnsi="Helvetica" w:cs="Helvetica"/>
          <w:color w:val="000000"/>
          <w:sz w:val="20"/>
          <w:szCs w:val="24"/>
          <w:lang w:val="lt-LT"/>
        </w:rPr>
        <w:t xml:space="preserve">- arba </w:t>
      </w:r>
      <w:proofErr w:type="spellStart"/>
      <w:r w:rsidRPr="00740992">
        <w:rPr>
          <w:rFonts w:ascii="Helvetica" w:hAnsi="Helvetica" w:cs="Helvetica"/>
          <w:color w:val="000000"/>
          <w:sz w:val="20"/>
          <w:szCs w:val="24"/>
          <w:lang w:val="lt-LT"/>
        </w:rPr>
        <w:t>nanodalelių</w:t>
      </w:r>
      <w:proofErr w:type="spellEnd"/>
      <w:r w:rsidRPr="00740992">
        <w:rPr>
          <w:rFonts w:ascii="Helvetica" w:hAnsi="Helvetica" w:cs="Helvetica"/>
          <w:color w:val="000000"/>
          <w:sz w:val="20"/>
          <w:szCs w:val="24"/>
          <w:lang w:val="lt-LT"/>
        </w:rPr>
        <w:t xml:space="preserve"> dydis yra maždaug 130 </w:t>
      </w:r>
      <w:proofErr w:type="spellStart"/>
      <w:r w:rsidRPr="00740992">
        <w:rPr>
          <w:rFonts w:ascii="Helvetica" w:hAnsi="Helvetica" w:cs="Helvetica"/>
          <w:color w:val="000000"/>
          <w:sz w:val="20"/>
          <w:szCs w:val="24"/>
          <w:lang w:val="lt-LT"/>
        </w:rPr>
        <w:t>nm</w:t>
      </w:r>
      <w:proofErr w:type="spellEnd"/>
      <w:r w:rsidRPr="00740992">
        <w:rPr>
          <w:rFonts w:ascii="Helvetica" w:hAnsi="Helvetica" w:cs="Helvetica"/>
          <w:color w:val="000000"/>
          <w:sz w:val="20"/>
          <w:szCs w:val="24"/>
          <w:lang w:val="lt-LT"/>
        </w:rPr>
        <w:t>. </w:t>
      </w:r>
    </w:p>
    <w:p w14:paraId="7B76E4B0"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47403973" w14:textId="3C7DB76D" w:rsidR="0042074E" w:rsidRPr="00740992" w:rsidRDefault="0042074E" w:rsidP="00740992">
      <w:pPr>
        <w:tabs>
          <w:tab w:val="left" w:pos="851"/>
        </w:tabs>
        <w:spacing w:after="0" w:line="360" w:lineRule="auto"/>
        <w:ind w:firstLine="567"/>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7.</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Kompozicija pagal 1 arba 2 punktą, kurią, remiantis bendru kompozicijos tūriu, pagal masę </w:t>
      </w:r>
      <w:r w:rsidR="00B2191F" w:rsidRPr="00740992">
        <w:rPr>
          <w:rFonts w:ascii="Helvetica" w:hAnsi="Helvetica" w:cs="Helvetica"/>
          <w:color w:val="000000"/>
          <w:sz w:val="20"/>
          <w:szCs w:val="24"/>
          <w:lang w:val="lt-LT"/>
        </w:rPr>
        <w:t>apima</w:t>
      </w:r>
      <w:r w:rsidRPr="00740992">
        <w:rPr>
          <w:rFonts w:ascii="Helvetica" w:hAnsi="Helvetica" w:cs="Helvetica"/>
          <w:color w:val="000000"/>
          <w:sz w:val="20"/>
          <w:szCs w:val="24"/>
          <w:lang w:val="lt-LT"/>
        </w:rPr>
        <w:t>:</w:t>
      </w:r>
    </w:p>
    <w:p w14:paraId="05E8DE07" w14:textId="1E28C2E7"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(a)</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nuo 10 % iki 70 %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arba nuo 20 % iki 60 %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arba nuo 20 % iki 50 %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arba nuo 20 % iki 40 %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(arba farmaciniu požiūriu priimtinos jo druskos, bet kur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xml:space="preserve"> apskaičiuojamas pagal jo </w:t>
      </w:r>
      <w:proofErr w:type="spellStart"/>
      <w:r w:rsidRPr="00740992">
        <w:rPr>
          <w:rFonts w:ascii="Helvetica" w:hAnsi="Helvetica" w:cs="Helvetica"/>
          <w:color w:val="000000"/>
          <w:sz w:val="20"/>
          <w:szCs w:val="24"/>
          <w:lang w:val="lt-LT"/>
        </w:rPr>
        <w:t>bedruskę</w:t>
      </w:r>
      <w:proofErr w:type="spellEnd"/>
      <w:r w:rsidRPr="00740992">
        <w:rPr>
          <w:rFonts w:ascii="Helvetica" w:hAnsi="Helvetica" w:cs="Helvetica"/>
          <w:color w:val="000000"/>
          <w:sz w:val="20"/>
          <w:szCs w:val="24"/>
          <w:lang w:val="lt-LT"/>
        </w:rPr>
        <w:t xml:space="preserve"> formą);</w:t>
      </w:r>
    </w:p>
    <w:p w14:paraId="519A5F93" w14:textId="048CB35E"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(b)</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nuo 0,5 % iki 20 % arba nuo 2 % iki 15 %, arba 20 %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arba nuo 5 % iki 15 %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drėkiklio</w:t>
      </w:r>
      <w:proofErr w:type="spellEnd"/>
      <w:r w:rsidRPr="00740992">
        <w:rPr>
          <w:rFonts w:ascii="Helvetica" w:hAnsi="Helvetica" w:cs="Helvetica"/>
          <w:color w:val="000000"/>
          <w:sz w:val="20"/>
          <w:szCs w:val="24"/>
          <w:lang w:val="lt-LT"/>
        </w:rPr>
        <w:t>;</w:t>
      </w:r>
    </w:p>
    <w:p w14:paraId="2A516A9D" w14:textId="6D441C92"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(c)</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nuo 0 % iki 10 % arba nuo 0 % iki 5 %, arba nuo 0 % iki 2 %, arba nuo 0 % iki 1 % vienos arba daugiau buferinių medžiagų;</w:t>
      </w:r>
    </w:p>
    <w:p w14:paraId="1073C535" w14:textId="19316D96"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(d)</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nuo 0 % iki 20 % arba nuo 2 % iki 15 %, arba 20 %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arba nuo 5 % iki 15 %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izotonizuojančios</w:t>
      </w:r>
      <w:proofErr w:type="spellEnd"/>
      <w:r w:rsidRPr="00740992">
        <w:rPr>
          <w:rFonts w:ascii="Helvetica" w:hAnsi="Helvetica" w:cs="Helvetica"/>
          <w:color w:val="000000"/>
          <w:sz w:val="20"/>
          <w:szCs w:val="24"/>
          <w:lang w:val="lt-LT"/>
        </w:rPr>
        <w:t xml:space="preserve"> medžiagos;</w:t>
      </w:r>
    </w:p>
    <w:p w14:paraId="44613043" w14:textId="4A087195"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(e)</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nuo 0 % iki 2 % (</w:t>
      </w:r>
      <w:r w:rsidR="00B2191F" w:rsidRPr="00740992">
        <w:rPr>
          <w:rFonts w:ascii="Helvetica" w:hAnsi="Helvetica" w:cs="Helvetica"/>
          <w:color w:val="000000"/>
          <w:sz w:val="20"/>
          <w:szCs w:val="24"/>
          <w:lang w:val="lt-LT"/>
        </w:rPr>
        <w:t>m/t</w:t>
      </w:r>
      <w:r w:rsidRPr="00740992">
        <w:rPr>
          <w:rFonts w:ascii="Helvetica" w:hAnsi="Helvetica" w:cs="Helvetica"/>
          <w:color w:val="000000"/>
          <w:sz w:val="20"/>
          <w:szCs w:val="24"/>
          <w:lang w:val="lt-LT"/>
        </w:rPr>
        <w:t>) konservantų; ir</w:t>
      </w:r>
    </w:p>
    <w:p w14:paraId="5F85420B" w14:textId="5A22745C" w:rsidR="0042074E" w:rsidRPr="00740992" w:rsidRDefault="0042074E" w:rsidP="00740992">
      <w:pPr>
        <w:tabs>
          <w:tab w:val="left" w:pos="851"/>
        </w:tabs>
        <w:spacing w:after="0" w:line="360" w:lineRule="auto"/>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(f)</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injekcinis vanduo, tiek, kad gautųsi 100 %.</w:t>
      </w:r>
    </w:p>
    <w:p w14:paraId="20DA7705"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164399AF" w14:textId="06459786"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8.</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Farmacinė kompozicija pagal bet kurį iš 1–7 punktų, skirta naudoti kaip vaistas.</w:t>
      </w:r>
    </w:p>
    <w:p w14:paraId="4BACF17A"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3A6B8174" w14:textId="6886383D"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9.</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Farmacinė kompozicija pagal bet kurį iš 1–8 punktų, skirta patogeninei </w:t>
      </w:r>
      <w:proofErr w:type="spellStart"/>
      <w:r w:rsidRPr="00740992">
        <w:rPr>
          <w:rFonts w:ascii="Helvetica" w:hAnsi="Helvetica" w:cs="Helvetica"/>
          <w:color w:val="000000"/>
          <w:sz w:val="20"/>
          <w:szCs w:val="24"/>
          <w:lang w:val="lt-LT"/>
        </w:rPr>
        <w:t>mikobakterinei</w:t>
      </w:r>
      <w:proofErr w:type="spellEnd"/>
      <w:r w:rsidRPr="00740992">
        <w:rPr>
          <w:rFonts w:ascii="Helvetica" w:hAnsi="Helvetica" w:cs="Helvetica"/>
          <w:color w:val="000000"/>
          <w:sz w:val="20"/>
          <w:szCs w:val="24"/>
          <w:lang w:val="lt-LT"/>
        </w:rPr>
        <w:t xml:space="preserve"> infekcijai gydyti. </w:t>
      </w:r>
    </w:p>
    <w:p w14:paraId="4FD07DFD"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4951FF6E" w14:textId="29D668E0"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10.</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Kompozicija, skirta naudoti pagal 9 punktą, k</w:t>
      </w:r>
      <w:r w:rsidR="00316868" w:rsidRPr="00740992">
        <w:rPr>
          <w:rFonts w:ascii="Helvetica" w:hAnsi="Helvetica" w:cs="Helvetica"/>
          <w:color w:val="000000"/>
          <w:sz w:val="20"/>
          <w:szCs w:val="24"/>
          <w:lang w:val="lt-LT"/>
        </w:rPr>
        <w:t>ur</w:t>
      </w:r>
      <w:r w:rsidRPr="00740992">
        <w:rPr>
          <w:rFonts w:ascii="Helvetica" w:hAnsi="Helvetica" w:cs="Helvetica"/>
          <w:color w:val="000000"/>
          <w:sz w:val="20"/>
          <w:szCs w:val="24"/>
          <w:lang w:val="lt-LT"/>
        </w:rPr>
        <w:t xml:space="preserve"> ji naudojama ilgalaikiam gydymui nuo </w:t>
      </w:r>
      <w:proofErr w:type="spellStart"/>
      <w:r w:rsidRPr="00740992">
        <w:rPr>
          <w:rFonts w:ascii="Helvetica" w:hAnsi="Helvetica" w:cs="Helvetica"/>
          <w:i/>
          <w:color w:val="000000"/>
          <w:sz w:val="20"/>
          <w:szCs w:val="24"/>
          <w:lang w:val="lt-LT"/>
        </w:rPr>
        <w:t>Mycobacterium</w:t>
      </w:r>
      <w:proofErr w:type="spellEnd"/>
      <w:r w:rsidRPr="00740992">
        <w:rPr>
          <w:rFonts w:ascii="Helvetica" w:hAnsi="Helvetica" w:cs="Helvetica"/>
          <w:i/>
          <w:color w:val="000000"/>
          <w:sz w:val="20"/>
          <w:szCs w:val="24"/>
          <w:lang w:val="lt-LT"/>
        </w:rPr>
        <w:t xml:space="preserve"> </w:t>
      </w:r>
      <w:proofErr w:type="spellStart"/>
      <w:r w:rsidRPr="00740992">
        <w:rPr>
          <w:rFonts w:ascii="Helvetica" w:hAnsi="Helvetica" w:cs="Helvetica"/>
          <w:i/>
          <w:color w:val="000000"/>
          <w:sz w:val="20"/>
          <w:szCs w:val="24"/>
          <w:lang w:val="lt-LT"/>
        </w:rPr>
        <w:t>tuberculosis</w:t>
      </w:r>
      <w:proofErr w:type="spellEnd"/>
      <w:r w:rsidRPr="00740992">
        <w:rPr>
          <w:rFonts w:ascii="Helvetica" w:hAnsi="Helvetica" w:cs="Helvetica"/>
          <w:color w:val="000000"/>
          <w:sz w:val="20"/>
          <w:szCs w:val="24"/>
          <w:lang w:val="lt-LT"/>
        </w:rPr>
        <w:t> arba </w:t>
      </w:r>
      <w:proofErr w:type="spellStart"/>
      <w:r w:rsidRPr="00740992">
        <w:rPr>
          <w:rFonts w:ascii="Helvetica" w:hAnsi="Helvetica" w:cs="Helvetica"/>
          <w:i/>
          <w:color w:val="000000"/>
          <w:sz w:val="20"/>
          <w:szCs w:val="24"/>
          <w:lang w:val="lt-LT"/>
        </w:rPr>
        <w:t>Mycobacterium</w:t>
      </w:r>
      <w:proofErr w:type="spellEnd"/>
      <w:r w:rsidRPr="00740992">
        <w:rPr>
          <w:rFonts w:ascii="Helvetica" w:hAnsi="Helvetica" w:cs="Helvetica"/>
          <w:i/>
          <w:color w:val="000000"/>
          <w:sz w:val="20"/>
          <w:szCs w:val="24"/>
          <w:lang w:val="lt-LT"/>
        </w:rPr>
        <w:t xml:space="preserve"> </w:t>
      </w:r>
      <w:proofErr w:type="spellStart"/>
      <w:r w:rsidRPr="00740992">
        <w:rPr>
          <w:rFonts w:ascii="Helvetica" w:hAnsi="Helvetica" w:cs="Helvetica"/>
          <w:i/>
          <w:color w:val="000000"/>
          <w:sz w:val="20"/>
          <w:szCs w:val="24"/>
          <w:lang w:val="lt-LT"/>
        </w:rPr>
        <w:t>leprae</w:t>
      </w:r>
      <w:proofErr w:type="spellEnd"/>
      <w:r w:rsidRPr="00740992">
        <w:rPr>
          <w:rFonts w:ascii="Helvetica" w:hAnsi="Helvetica" w:cs="Helvetica"/>
          <w:i/>
          <w:color w:val="000000"/>
          <w:sz w:val="20"/>
          <w:szCs w:val="24"/>
          <w:lang w:val="lt-LT"/>
        </w:rPr>
        <w:t>.</w:t>
      </w:r>
      <w:r w:rsidRPr="00740992">
        <w:rPr>
          <w:rFonts w:ascii="Helvetica" w:hAnsi="Helvetica" w:cs="Helvetica"/>
          <w:color w:val="000000"/>
          <w:sz w:val="20"/>
          <w:szCs w:val="24"/>
          <w:lang w:val="lt-LT"/>
        </w:rPr>
        <w:t> </w:t>
      </w:r>
    </w:p>
    <w:p w14:paraId="634D67F7"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69C0F2F4" w14:textId="1994F4D2"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11.</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Kompozicija, skirta naudoti pagal 9 punktą, k</w:t>
      </w:r>
      <w:r w:rsidR="00316868" w:rsidRPr="00740992">
        <w:rPr>
          <w:rFonts w:ascii="Helvetica" w:hAnsi="Helvetica" w:cs="Helvetica"/>
          <w:color w:val="000000"/>
          <w:sz w:val="20"/>
          <w:szCs w:val="24"/>
          <w:lang w:val="lt-LT"/>
        </w:rPr>
        <w:t>ur</w:t>
      </w:r>
      <w:r w:rsidRPr="00740992">
        <w:rPr>
          <w:rFonts w:ascii="Helvetica" w:hAnsi="Helvetica" w:cs="Helvetica"/>
          <w:color w:val="000000"/>
          <w:sz w:val="20"/>
          <w:szCs w:val="24"/>
          <w:lang w:val="lt-LT"/>
        </w:rPr>
        <w:t xml:space="preserve"> ji turi būti švirkščiama į raumenis arba po oda; kai kompozicija yra švirkščiama su pertraukomis, nuo vienos savaitės iki dvejų metų laiko intervalu. </w:t>
      </w:r>
    </w:p>
    <w:p w14:paraId="5E035F7A"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2A356C3C" w14:textId="228165F2"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12.</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Kompozicija, skirta naudoti pagal 9 punktą, k</w:t>
      </w:r>
      <w:r w:rsidR="00316868" w:rsidRPr="00740992">
        <w:rPr>
          <w:rFonts w:ascii="Helvetica" w:hAnsi="Helvetica" w:cs="Helvetica"/>
          <w:color w:val="000000"/>
          <w:sz w:val="20"/>
          <w:szCs w:val="24"/>
          <w:lang w:val="lt-LT"/>
        </w:rPr>
        <w:t>ur</w:t>
      </w:r>
      <w:r w:rsidRPr="00740992">
        <w:rPr>
          <w:rFonts w:ascii="Helvetica" w:hAnsi="Helvetica" w:cs="Helvetica"/>
          <w:color w:val="000000"/>
          <w:sz w:val="20"/>
          <w:szCs w:val="24"/>
          <w:lang w:val="lt-LT"/>
        </w:rPr>
        <w:t xml:space="preserve"> farmacinė kompozicija yra švirkščiama mažiausiai nuo vieno mėnesio iki vienerių metų intervalu. </w:t>
      </w:r>
    </w:p>
    <w:p w14:paraId="47C03352"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5E85FB5C" w14:textId="3EC97E30" w:rsidR="0042074E" w:rsidRPr="00740992" w:rsidRDefault="0042074E" w:rsidP="00740992">
      <w:pPr>
        <w:tabs>
          <w:tab w:val="left" w:pos="851"/>
        </w:tabs>
        <w:spacing w:after="0" w:line="360" w:lineRule="auto"/>
        <w:ind w:firstLine="567"/>
        <w:jc w:val="both"/>
        <w:rPr>
          <w:rFonts w:ascii="Helvetica" w:hAnsi="Helvetica" w:cs="Helvetica"/>
          <w:color w:val="000000"/>
          <w:sz w:val="20"/>
          <w:szCs w:val="24"/>
          <w:lang w:val="lt-LT"/>
        </w:rPr>
      </w:pPr>
      <w:r w:rsidRPr="00740992">
        <w:rPr>
          <w:rFonts w:ascii="Helvetica" w:hAnsi="Helvetica" w:cs="Helvetica"/>
          <w:color w:val="000000"/>
          <w:sz w:val="20"/>
          <w:szCs w:val="24"/>
          <w:lang w:val="lt-LT"/>
        </w:rPr>
        <w:t>13.</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 xml:space="preserve">Kompozicija, skirta naudoti pagal 8 punktą, </w:t>
      </w:r>
      <w:r w:rsidR="00316868" w:rsidRPr="00740992">
        <w:rPr>
          <w:rFonts w:ascii="Helvetica" w:hAnsi="Helvetica" w:cs="Helvetica"/>
          <w:color w:val="000000"/>
          <w:sz w:val="20"/>
          <w:szCs w:val="24"/>
          <w:lang w:val="lt-LT"/>
        </w:rPr>
        <w:t>kur</w:t>
      </w:r>
      <w:r w:rsidRPr="00740992">
        <w:rPr>
          <w:rFonts w:ascii="Helvetica" w:hAnsi="Helvetica" w:cs="Helvetica"/>
          <w:color w:val="000000"/>
          <w:sz w:val="20"/>
          <w:szCs w:val="24"/>
          <w:lang w:val="lt-LT"/>
        </w:rPr>
        <w:t xml:space="preserve"> farmacinė kompozicija yra švirkščiama nuo vienos savaitės iki vieno mėnesio arba nuo vieno mėnesio iki trijų mėnesių, arba nuo trijų mėnesių iki šešių mėnesių, arba nuo šešių mėnesių iki dvylikos mėnesių, arba nuo 12 mėnesių iki 24 mėnesių laiko intervalu. </w:t>
      </w:r>
    </w:p>
    <w:p w14:paraId="74AC0F51"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p>
    <w:p w14:paraId="5508CFCA" w14:textId="7A750B63" w:rsidR="0042074E" w:rsidRPr="00740992" w:rsidRDefault="0042074E" w:rsidP="00740992">
      <w:pPr>
        <w:tabs>
          <w:tab w:val="left" w:pos="851"/>
        </w:tabs>
        <w:spacing w:after="0" w:line="360" w:lineRule="auto"/>
        <w:ind w:firstLine="567"/>
        <w:jc w:val="both"/>
        <w:rPr>
          <w:rFonts w:ascii="Helvetica" w:hAnsi="Helvetica" w:cs="Helvetica"/>
          <w:color w:val="000000"/>
          <w:spacing w:val="2"/>
          <w:sz w:val="20"/>
          <w:szCs w:val="24"/>
          <w:lang w:val="lt-LT"/>
        </w:rPr>
      </w:pPr>
      <w:r w:rsidRPr="00740992">
        <w:rPr>
          <w:rFonts w:ascii="Helvetica" w:hAnsi="Helvetica" w:cs="Helvetica"/>
          <w:color w:val="000000"/>
          <w:spacing w:val="2"/>
          <w:sz w:val="20"/>
          <w:szCs w:val="24"/>
          <w:lang w:val="lt-LT"/>
        </w:rPr>
        <w:t>14.</w:t>
      </w:r>
      <w:r w:rsidR="00182B52" w:rsidRPr="00740992">
        <w:rPr>
          <w:rFonts w:ascii="Helvetica" w:hAnsi="Helvetica" w:cs="Helvetica"/>
          <w:color w:val="000000"/>
          <w:spacing w:val="2"/>
          <w:sz w:val="20"/>
          <w:szCs w:val="24"/>
          <w:lang w:val="lt-LT"/>
        </w:rPr>
        <w:t xml:space="preserve"> </w:t>
      </w:r>
      <w:r w:rsidRPr="00740992">
        <w:rPr>
          <w:rFonts w:ascii="Helvetica" w:hAnsi="Helvetica" w:cs="Helvetica"/>
          <w:color w:val="000000"/>
          <w:spacing w:val="2"/>
          <w:sz w:val="20"/>
          <w:szCs w:val="24"/>
          <w:lang w:val="lt-LT"/>
        </w:rPr>
        <w:t>Kompozicija, skirta naudoti pagal 9 punktą, kur farmacinė kompozicija yra švirkščiama kartą per dvi savaites arba kartą per mėnesį, arba kartą per tris mėnesius. </w:t>
      </w:r>
    </w:p>
    <w:p w14:paraId="7F088E3C" w14:textId="77777777" w:rsidR="00740992" w:rsidRPr="00740992" w:rsidRDefault="00740992" w:rsidP="00740992">
      <w:pPr>
        <w:tabs>
          <w:tab w:val="left" w:pos="851"/>
        </w:tabs>
        <w:spacing w:after="0" w:line="360" w:lineRule="auto"/>
        <w:jc w:val="both"/>
        <w:rPr>
          <w:rFonts w:ascii="Helvetica" w:eastAsia="Times New Roman" w:hAnsi="Helvetica" w:cs="Helvetica"/>
          <w:color w:val="000000"/>
          <w:spacing w:val="2"/>
          <w:kern w:val="0"/>
          <w:sz w:val="20"/>
          <w:szCs w:val="24"/>
          <w:lang w:val="lt-LT"/>
          <w14:ligatures w14:val="none"/>
        </w:rPr>
      </w:pPr>
    </w:p>
    <w:p w14:paraId="4E184A47" w14:textId="56862BFF" w:rsidR="0042074E" w:rsidRPr="00740992" w:rsidRDefault="0042074E" w:rsidP="00740992">
      <w:pPr>
        <w:tabs>
          <w:tab w:val="left" w:pos="851"/>
        </w:tabs>
        <w:spacing w:after="0" w:line="360" w:lineRule="auto"/>
        <w:ind w:firstLine="567"/>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15.</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Farmacinės kompozicijos pagal bet kurį iš 1–7 punktų paruošimo procesas, kuris apima:</w:t>
      </w:r>
    </w:p>
    <w:p w14:paraId="14E67417" w14:textId="22F4AF10"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(a)</w:t>
      </w:r>
      <w:r w:rsidR="00182B52"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arba farmaciniu požiūriu priimtinos jo druskos </w:t>
      </w:r>
      <w:proofErr w:type="spellStart"/>
      <w:r w:rsidRPr="00740992">
        <w:rPr>
          <w:rFonts w:ascii="Helvetica" w:hAnsi="Helvetica" w:cs="Helvetica"/>
          <w:color w:val="000000"/>
          <w:sz w:val="20"/>
          <w:szCs w:val="24"/>
          <w:lang w:val="lt-LT"/>
        </w:rPr>
        <w:t>mikronizuotos</w:t>
      </w:r>
      <w:proofErr w:type="spellEnd"/>
      <w:r w:rsidRPr="00740992">
        <w:rPr>
          <w:rFonts w:ascii="Helvetica" w:hAnsi="Helvetica" w:cs="Helvetica"/>
          <w:color w:val="000000"/>
          <w:sz w:val="20"/>
          <w:szCs w:val="24"/>
          <w:lang w:val="lt-LT"/>
        </w:rPr>
        <w:t xml:space="preserve"> formos gavimas;</w:t>
      </w:r>
    </w:p>
    <w:p w14:paraId="68005837" w14:textId="59B0B57B"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(b)</w:t>
      </w:r>
      <w:r w:rsidR="00182B52"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mikronizuoto</w:t>
      </w:r>
      <w:proofErr w:type="spellEnd"/>
      <w:r w:rsidRPr="00740992">
        <w:rPr>
          <w:rFonts w:ascii="Helvetica" w:hAnsi="Helvetica" w:cs="Helvetica"/>
          <w:color w:val="000000"/>
          <w:sz w:val="20"/>
          <w:szCs w:val="24"/>
          <w:lang w:val="lt-LT"/>
        </w:rPr>
        <w:t xml:space="preserve"> </w:t>
      </w:r>
      <w:proofErr w:type="spellStart"/>
      <w:r w:rsidRPr="00740992">
        <w:rPr>
          <w:rFonts w:ascii="Helvetica" w:hAnsi="Helvetica" w:cs="Helvetica"/>
          <w:color w:val="000000"/>
          <w:sz w:val="20"/>
          <w:szCs w:val="24"/>
          <w:lang w:val="lt-LT"/>
        </w:rPr>
        <w:t>bedakvilino</w:t>
      </w:r>
      <w:proofErr w:type="spellEnd"/>
      <w:r w:rsidRPr="00740992">
        <w:rPr>
          <w:rFonts w:ascii="Helvetica" w:hAnsi="Helvetica" w:cs="Helvetica"/>
          <w:color w:val="000000"/>
          <w:sz w:val="20"/>
          <w:szCs w:val="24"/>
          <w:lang w:val="lt-LT"/>
        </w:rPr>
        <w:t xml:space="preserve"> arba farmaciniu požiūriu priimtinos jo druskos pridėjimas į skystą terpę, suformuojant premiksą / išankstinę dispersiją; ir</w:t>
      </w:r>
    </w:p>
    <w:p w14:paraId="70452938" w14:textId="05E672DB" w:rsidR="0042074E" w:rsidRPr="00740992" w:rsidRDefault="0042074E" w:rsidP="00740992">
      <w:pPr>
        <w:tabs>
          <w:tab w:val="left" w:pos="851"/>
        </w:tabs>
        <w:spacing w:after="0" w:line="360" w:lineRule="auto"/>
        <w:jc w:val="both"/>
        <w:rPr>
          <w:rFonts w:ascii="Helvetica" w:eastAsia="Times New Roman" w:hAnsi="Helvetica" w:cs="Helvetica"/>
          <w:color w:val="000000"/>
          <w:kern w:val="0"/>
          <w:sz w:val="20"/>
          <w:szCs w:val="24"/>
          <w:lang w:val="lt-LT"/>
          <w14:ligatures w14:val="none"/>
        </w:rPr>
      </w:pPr>
      <w:r w:rsidRPr="00740992">
        <w:rPr>
          <w:rFonts w:ascii="Helvetica" w:hAnsi="Helvetica" w:cs="Helvetica"/>
          <w:color w:val="000000"/>
          <w:sz w:val="20"/>
          <w:szCs w:val="24"/>
          <w:lang w:val="lt-LT"/>
        </w:rPr>
        <w:t>(c)</w:t>
      </w:r>
      <w:r w:rsidR="00182B52" w:rsidRPr="00740992">
        <w:rPr>
          <w:rFonts w:ascii="Helvetica" w:hAnsi="Helvetica" w:cs="Helvetica"/>
          <w:color w:val="000000"/>
          <w:sz w:val="20"/>
          <w:szCs w:val="24"/>
          <w:lang w:val="lt-LT"/>
        </w:rPr>
        <w:t xml:space="preserve"> </w:t>
      </w:r>
      <w:r w:rsidRPr="00740992">
        <w:rPr>
          <w:rFonts w:ascii="Helvetica" w:hAnsi="Helvetica" w:cs="Helvetica"/>
          <w:color w:val="000000"/>
          <w:sz w:val="20"/>
          <w:szCs w:val="24"/>
          <w:lang w:val="lt-LT"/>
        </w:rPr>
        <w:t>premikso veikimas mechaninėmis priemonėmis, esant malimo terpei, siekiant sumažinti vidutinį efektyvųjį dalelių dydį.</w:t>
      </w:r>
    </w:p>
    <w:p w14:paraId="284B311F" w14:textId="77777777" w:rsidR="0042074E" w:rsidRPr="00740992" w:rsidRDefault="0042074E" w:rsidP="00740992">
      <w:pPr>
        <w:tabs>
          <w:tab w:val="left" w:pos="851"/>
        </w:tabs>
        <w:spacing w:after="0" w:line="360" w:lineRule="auto"/>
        <w:jc w:val="both"/>
        <w:rPr>
          <w:rFonts w:ascii="Helvetica" w:hAnsi="Helvetica" w:cs="Helvetica"/>
          <w:color w:val="000000"/>
          <w:sz w:val="20"/>
          <w:szCs w:val="24"/>
          <w:lang w:val="lt-LT"/>
        </w:rPr>
      </w:pPr>
    </w:p>
    <w:sectPr w:rsidR="0042074E" w:rsidRPr="00740992" w:rsidSect="00740992">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C31C" w14:textId="77777777" w:rsidR="000C002B" w:rsidRDefault="000C002B" w:rsidP="0042074E">
      <w:pPr>
        <w:spacing w:after="0" w:line="240" w:lineRule="auto"/>
      </w:pPr>
      <w:r>
        <w:separator/>
      </w:r>
    </w:p>
  </w:endnote>
  <w:endnote w:type="continuationSeparator" w:id="0">
    <w:p w14:paraId="40EDCC42" w14:textId="77777777" w:rsidR="000C002B" w:rsidRDefault="000C002B" w:rsidP="0042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86C0" w14:textId="77777777" w:rsidR="000C002B" w:rsidRDefault="000C002B" w:rsidP="0042074E">
      <w:pPr>
        <w:spacing w:after="0" w:line="240" w:lineRule="auto"/>
      </w:pPr>
      <w:r>
        <w:separator/>
      </w:r>
    </w:p>
  </w:footnote>
  <w:footnote w:type="continuationSeparator" w:id="0">
    <w:p w14:paraId="5FA1E484" w14:textId="77777777" w:rsidR="000C002B" w:rsidRDefault="000C002B" w:rsidP="00420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70"/>
    <w:rsid w:val="00025970"/>
    <w:rsid w:val="000C002B"/>
    <w:rsid w:val="00182B52"/>
    <w:rsid w:val="00316868"/>
    <w:rsid w:val="0042074E"/>
    <w:rsid w:val="00740992"/>
    <w:rsid w:val="00B2191F"/>
    <w:rsid w:val="00BD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79C02"/>
  <w15:chartTrackingRefBased/>
  <w15:docId w15:val="{ACA64913-1FD2-4921-9C1D-18724837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07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074E"/>
  </w:style>
  <w:style w:type="paragraph" w:styleId="Porat">
    <w:name w:val="footer"/>
    <w:basedOn w:val="prastasis"/>
    <w:link w:val="PoratDiagrama"/>
    <w:uiPriority w:val="99"/>
    <w:unhideWhenUsed/>
    <w:rsid w:val="004207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599</Words>
  <Characters>3343</Characters>
  <Application>Microsoft Office Word</Application>
  <DocSecurity>0</DocSecurity>
  <Lines>69</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Raimonda Kvietkauskaitė</cp:lastModifiedBy>
  <cp:revision>6</cp:revision>
  <dcterms:created xsi:type="dcterms:W3CDTF">2024-01-11T14:01:00Z</dcterms:created>
  <dcterms:modified xsi:type="dcterms:W3CDTF">2024-01-15T08:36:00Z</dcterms:modified>
</cp:coreProperties>
</file>