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 xml:space="preserve">Išradime aprašomas naujų piperazinilalkil-3(2H)-piridazinonų, kurių bendra formulė, kurioje R1 yra (C1-C6)-alkilas, neturintis pakaitalų, arba kaip pakaitą turintis NR4R5 grupę, kurioje R4 ir R5 galibūti vienodi arba skirtingi ir yra vandenilis, metilas arba etilas, bei oksigrupė; arba yra fenilas arba vandenilis;@R2 arba R3 yra vandenilis arba halogenas; be to, bent vienas iš R2 arba R3 yra vandenilis;@R6 yra vandenilis; B yra (C1-C4)-alkilenilas;@R7 ir R8 gali būti vienodi arba skirtingi ir yra vandenilis arba (C1-C6)-alkilas;@Z yra fenilas, neturintis pakaitų, arba turintis vieną arba daugiau pakaitų, tokių kaip (C1-C6)-alkilas, (C1-C6)-alkoksilas, benziloksigrupė, trifluormetilas, halogenas, ir nitrogrupė, arba piridilas;@ir jų farmaciškai tinkamų druskų gavimo būdas, panaudojant atitinkamo pakeisto piridazinono reakciją su piperazinilalkilaminu.  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