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9BB0" w14:textId="6F929099" w:rsidR="0089159B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5993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unginys</w:t>
      </w:r>
      <w:r w:rsidR="00745993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5993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5993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struktūra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5993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5993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tokia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5E8BD288" w14:textId="77777777" w:rsidR="00BE4EA0" w:rsidRPr="00402F98" w:rsidRDefault="0089159B" w:rsidP="00402F98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2E6E914C" wp14:editId="62C8CAD4">
            <wp:extent cx="3587750" cy="1555750"/>
            <wp:effectExtent l="0" t="0" r="0" b="635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B955B" w14:textId="762AAF16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119D7C8F" w14:textId="03EE6F81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natūrali</w:t>
      </w:r>
      <w:r w:rsidR="00745993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5993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aptinkama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</w:t>
      </w:r>
      <w:r w:rsidR="002A3C1C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bazė;</w:t>
      </w:r>
    </w:p>
    <w:p w14:paraId="61C02BC6" w14:textId="07964D12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metilas;</w:t>
      </w:r>
    </w:p>
    <w:p w14:paraId="245C431E" w14:textId="0BED803C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OH,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alkilas,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O-alkilas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halogenas;</w:t>
      </w:r>
    </w:p>
    <w:p w14:paraId="028796DE" w14:textId="3DD56E71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O-alkilas;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26B36245" w14:textId="6C9240BE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OH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O-metilas.</w:t>
      </w:r>
    </w:p>
    <w:p w14:paraId="4ACDBD92" w14:textId="5BD4AA5A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E3708F2" w14:textId="15652388" w:rsidR="0089159B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O-metilas.</w:t>
      </w:r>
    </w:p>
    <w:p w14:paraId="51EE65FA" w14:textId="2631F73B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C338E2F" w14:textId="6D356FF0" w:rsidR="0089159B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adeninas</w:t>
      </w:r>
      <w:proofErr w:type="spellEnd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guaninas</w:t>
      </w:r>
      <w:proofErr w:type="spellEnd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6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-metiladeninas,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citozinas</w:t>
      </w:r>
      <w:proofErr w:type="spellEnd"/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uracilas</w:t>
      </w:r>
      <w:proofErr w:type="spellEnd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1CAFCCA" w14:textId="65E65139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9C93847" w14:textId="26D24DE8" w:rsidR="0089159B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adeninas</w:t>
      </w:r>
      <w:proofErr w:type="spellEnd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guaninas</w:t>
      </w:r>
      <w:proofErr w:type="spellEnd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Pr="00402F98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6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-metiladeninas,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citozinas</w:t>
      </w:r>
      <w:proofErr w:type="spellEnd"/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uracilas</w:t>
      </w:r>
      <w:proofErr w:type="spellEnd"/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350AA7A" w14:textId="4FC6D9CA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5E8FA35" w14:textId="02FBC93A" w:rsidR="0089159B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turintis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struktūrą:</w:t>
      </w:r>
    </w:p>
    <w:p w14:paraId="72A98916" w14:textId="77777777" w:rsidR="00BE4EA0" w:rsidRPr="00402F98" w:rsidRDefault="0089159B" w:rsidP="00402F98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4C1A0606" wp14:editId="1D65FA4F">
            <wp:extent cx="4114800" cy="16383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81FEA" w14:textId="77777777" w:rsidR="00BE4EA0" w:rsidRPr="00402F98" w:rsidRDefault="00BE4EA0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934FDA9" w14:textId="491D22AF" w:rsidR="0089159B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inicijuojantis,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kepurės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struktūrą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turintis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oligonukleotidinis</w:t>
      </w:r>
      <w:proofErr w:type="spellEnd"/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pradmuo</w:t>
      </w:r>
      <w:r w:rsidR="00F8395D" w:rsidRPr="00402F98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C5AEEB9" w14:textId="1A9DEB4F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5D84AB0" w14:textId="3369BBDB" w:rsidR="005B390A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Inicijuojantis,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kepurės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struktūrą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turintis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oligonukleotidinis</w:t>
      </w:r>
      <w:proofErr w:type="spellEnd"/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45993" w:rsidRPr="00402F98">
        <w:rPr>
          <w:rFonts w:ascii="Helvetica" w:eastAsia="Times New Roman" w:hAnsi="Helvetica" w:cs="Arial"/>
          <w:sz w:val="20"/>
          <w:szCs w:val="24"/>
          <w:lang w:eastAsia="lt-LT"/>
        </w:rPr>
        <w:t>pradmuo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5993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02F98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pppApA,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pppApC,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'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pppApG,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pppApU,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pppCpA,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pppCpC,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pppCpG,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pppCpU,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pppUpA,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pppUpC,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pppUpG,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pppUpU,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pppA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,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pA,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pppA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pC,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pppA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pG,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pppA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pU,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pppC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pA,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pppC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pC,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pppC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pG,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pppC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pU,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pppU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pA,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pppU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pC,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pppU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pG</w:t>
      </w:r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proofErr w:type="spellStart"/>
      <w:r w:rsidR="005B390A" w:rsidRPr="00402F98">
        <w:rPr>
          <w:rFonts w:ascii="Helvetica" w:hAnsi="Helvetica" w:cs="Arial"/>
          <w:color w:val="000000"/>
          <w:sz w:val="20"/>
          <w:szCs w:val="24"/>
        </w:rPr>
        <w:t>and</w:t>
      </w:r>
      <w:proofErr w:type="spellEnd"/>
      <w:r w:rsidR="00BE4EA0" w:rsidRPr="00402F98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perscript"/>
        </w:rPr>
        <w:t>m7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G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3'Ome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pppU</w:t>
      </w:r>
      <w:r w:rsidR="005B390A" w:rsidRPr="00402F98">
        <w:rPr>
          <w:rFonts w:ascii="Helvetica" w:hAnsi="Helvetica" w:cs="Arial"/>
          <w:color w:val="000000"/>
          <w:sz w:val="20"/>
          <w:szCs w:val="24"/>
          <w:vertAlign w:val="subscript"/>
        </w:rPr>
        <w:t>2'Ome</w:t>
      </w:r>
      <w:r w:rsidR="005B390A" w:rsidRPr="00402F98">
        <w:rPr>
          <w:rFonts w:ascii="Helvetica" w:hAnsi="Helvetica" w:cs="Arial"/>
          <w:color w:val="000000"/>
          <w:sz w:val="20"/>
          <w:szCs w:val="24"/>
        </w:rPr>
        <w:t>pU.</w:t>
      </w:r>
    </w:p>
    <w:p w14:paraId="3784F9B0" w14:textId="3758EFC5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0797167" w14:textId="549F144C" w:rsidR="0089159B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molekulė,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inicijuojantį,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75343264"/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kepurės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struktūrą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0"/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turintį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oligonukleotidinį</w:t>
      </w:r>
      <w:proofErr w:type="spellEnd"/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pradmenį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5B390A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36B9D8C" w14:textId="69F329A3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041F595" w14:textId="5728E47D" w:rsidR="0089159B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sudėtyje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inicijuojantį,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kepurės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struktūrą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turintį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oligonukleotidinį</w:t>
      </w:r>
      <w:proofErr w:type="spellEnd"/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pradmenį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punktą.</w:t>
      </w:r>
    </w:p>
    <w:p w14:paraId="5287B7B5" w14:textId="30914096" w:rsidR="0089159B" w:rsidRPr="00402F98" w:rsidRDefault="0089159B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92784A5" w14:textId="088EE762" w:rsidR="005B390A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sudėtyje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5B390A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ransliuojam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B390A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molekulės,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5B390A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inicijuojantį,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kepurės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struktūrą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turintį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oligonukleotidinį</w:t>
      </w:r>
      <w:proofErr w:type="spellEnd"/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90A" w:rsidRPr="00402F98">
        <w:rPr>
          <w:rFonts w:ascii="Helvetica" w:eastAsia="Times New Roman" w:hAnsi="Helvetica" w:cs="Arial"/>
          <w:sz w:val="20"/>
          <w:szCs w:val="24"/>
          <w:lang w:eastAsia="lt-LT"/>
        </w:rPr>
        <w:t>pradmenį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gamybos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minėtos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molekulės,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395D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nčios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8395D" w:rsidRPr="00402F98">
        <w:rPr>
          <w:rFonts w:ascii="Helvetica" w:eastAsia="Times New Roman" w:hAnsi="Helvetica" w:cs="Arial"/>
          <w:sz w:val="20"/>
          <w:szCs w:val="24"/>
          <w:lang w:eastAsia="lt-LT"/>
        </w:rPr>
        <w:t>inicijuojantį,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8395D" w:rsidRPr="00402F98">
        <w:rPr>
          <w:rFonts w:ascii="Helvetica" w:eastAsia="Times New Roman" w:hAnsi="Helvetica" w:cs="Arial"/>
          <w:sz w:val="20"/>
          <w:szCs w:val="24"/>
          <w:lang w:eastAsia="lt-LT"/>
        </w:rPr>
        <w:t>kepurės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8395D" w:rsidRPr="00402F98">
        <w:rPr>
          <w:rFonts w:ascii="Helvetica" w:eastAsia="Times New Roman" w:hAnsi="Helvetica" w:cs="Arial"/>
          <w:sz w:val="20"/>
          <w:szCs w:val="24"/>
          <w:lang w:eastAsia="lt-LT"/>
        </w:rPr>
        <w:t>struktūrą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8395D" w:rsidRPr="00402F98">
        <w:rPr>
          <w:rFonts w:ascii="Helvetica" w:eastAsia="Times New Roman" w:hAnsi="Helvetica" w:cs="Arial"/>
          <w:sz w:val="20"/>
          <w:szCs w:val="24"/>
          <w:lang w:eastAsia="lt-LT"/>
        </w:rPr>
        <w:t>turintį</w:t>
      </w:r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F8395D" w:rsidRPr="00402F98">
        <w:rPr>
          <w:rFonts w:ascii="Helvetica" w:eastAsia="Times New Roman" w:hAnsi="Helvetica" w:cs="Arial"/>
          <w:sz w:val="20"/>
          <w:szCs w:val="24"/>
          <w:lang w:eastAsia="lt-LT"/>
        </w:rPr>
        <w:t>oligonukleotidinį</w:t>
      </w:r>
      <w:proofErr w:type="spellEnd"/>
      <w:r w:rsidR="00BE4EA0" w:rsidRPr="00402F9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8395D" w:rsidRPr="00402F98">
        <w:rPr>
          <w:rFonts w:ascii="Helvetica" w:eastAsia="Times New Roman" w:hAnsi="Helvetica" w:cs="Arial"/>
          <w:sz w:val="20"/>
          <w:szCs w:val="24"/>
          <w:lang w:eastAsia="lt-LT"/>
        </w:rPr>
        <w:t>pradmenį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įvedimą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ląstelę,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naudoja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minėtą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molekulę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minėtam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baltymui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gaminti.</w:t>
      </w:r>
    </w:p>
    <w:p w14:paraId="26A3EBF0" w14:textId="77777777" w:rsidR="00BE4EA0" w:rsidRPr="00402F98" w:rsidRDefault="00BE4EA0" w:rsidP="00402F98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3480ED9" w14:textId="409170DF" w:rsidR="0089159B" w:rsidRPr="00402F98" w:rsidRDefault="0089159B" w:rsidP="00402F98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molekulę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požiūriu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priimtiną</w:t>
      </w:r>
      <w:r w:rsidR="00BE4EA0"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02F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nešiklį.</w:t>
      </w:r>
    </w:p>
    <w:p w14:paraId="079F0CDD" w14:textId="77777777" w:rsidR="00402F98" w:rsidRPr="00402F98" w:rsidRDefault="00402F98" w:rsidP="00402F98">
      <w:pPr>
        <w:spacing w:after="0" w:line="360" w:lineRule="auto"/>
        <w:jc w:val="both"/>
        <w:rPr>
          <w:rFonts w:ascii="Helvetica" w:hAnsi="Helvetica"/>
          <w:sz w:val="20"/>
        </w:rPr>
      </w:pPr>
    </w:p>
    <w:sectPr w:rsidR="00402F98" w:rsidRPr="00402F98" w:rsidSect="00402F9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1992" w14:textId="77777777" w:rsidR="007F3A46" w:rsidRDefault="007F3A46" w:rsidP="0089159B">
      <w:pPr>
        <w:spacing w:after="0" w:line="240" w:lineRule="auto"/>
      </w:pPr>
      <w:r>
        <w:separator/>
      </w:r>
    </w:p>
  </w:endnote>
  <w:endnote w:type="continuationSeparator" w:id="0">
    <w:p w14:paraId="47B5D011" w14:textId="77777777" w:rsidR="007F3A46" w:rsidRDefault="007F3A46" w:rsidP="0089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1A6A" w14:textId="77777777" w:rsidR="007F3A46" w:rsidRDefault="007F3A46" w:rsidP="0089159B">
      <w:pPr>
        <w:spacing w:after="0" w:line="240" w:lineRule="auto"/>
      </w:pPr>
      <w:r>
        <w:separator/>
      </w:r>
    </w:p>
  </w:footnote>
  <w:footnote w:type="continuationSeparator" w:id="0">
    <w:p w14:paraId="57E24084" w14:textId="77777777" w:rsidR="007F3A46" w:rsidRDefault="007F3A46" w:rsidP="00891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9B"/>
    <w:rsid w:val="001A6E79"/>
    <w:rsid w:val="001B3AA3"/>
    <w:rsid w:val="002A3C1C"/>
    <w:rsid w:val="00402F98"/>
    <w:rsid w:val="005B390A"/>
    <w:rsid w:val="00745993"/>
    <w:rsid w:val="007F3A46"/>
    <w:rsid w:val="0089159B"/>
    <w:rsid w:val="00BE4EA0"/>
    <w:rsid w:val="00F8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E1520"/>
  <w15:chartTrackingRefBased/>
  <w15:docId w15:val="{824D2F16-B529-497A-AF04-9CEA7D89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89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89159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1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159B"/>
  </w:style>
  <w:style w:type="paragraph" w:styleId="Porat">
    <w:name w:val="footer"/>
    <w:basedOn w:val="prastasis"/>
    <w:link w:val="PoratDiagrama"/>
    <w:uiPriority w:val="99"/>
    <w:unhideWhenUsed/>
    <w:rsid w:val="00891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232</Words>
  <Characters>1755</Characters>
  <Application>Microsoft Office Word</Application>
  <DocSecurity>0</DocSecurity>
  <Lines>45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2023-11-28T06:33:00Z</dcterms:created>
  <dcterms:modified xsi:type="dcterms:W3CDTF">2023-12-05T07:39:00Z</dcterms:modified>
</cp:coreProperties>
</file>