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B791" w14:textId="557F5BAD" w:rsidR="00DE17F0" w:rsidRPr="00F96809" w:rsidRDefault="00C80466" w:rsidP="00F96809">
      <w:pPr>
        <w:tabs>
          <w:tab w:val="left" w:pos="7513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594F12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gydant</w:t>
      </w:r>
      <w:r w:rsidR="007F5F7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hiperproliferacinę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ligą, parinktą iš grupės, susidedančios iš lėtinės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limfocitinės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leukemijos, </w:t>
      </w:r>
      <w:r w:rsidR="00F96E17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smulkių limfocitų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limfoleukemijos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ne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Hodžkino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limfomos, difuzinės did</w:t>
      </w:r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eli</w:t>
      </w:r>
      <w:r w:rsidR="007F5F7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ų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 ląstelių limfomos, mantijos ląstelių limfomos, folikulinės limfomos, B ląstelių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ligos, B ląstelių ūmi</w:t>
      </w:r>
      <w:r w:rsidR="007F5F7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limfoblastinė</w:t>
      </w:r>
      <w:r w:rsidR="007F5F7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</w:t>
      </w:r>
      <w:r w:rsidR="007F5F7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</w:t>
      </w:r>
      <w:proofErr w:type="spellStart"/>
      <w:r w:rsidR="006B317B" w:rsidRPr="00F96809">
        <w:rPr>
          <w:rFonts w:ascii="Helvetica" w:hAnsi="Helvetica" w:cs="Helvetica"/>
          <w:sz w:val="20"/>
          <w:szCs w:val="24"/>
          <w:shd w:val="clear" w:color="auto" w:fill="FFFFFF"/>
        </w:rPr>
        <w:t>Valdenštremo</w:t>
      </w:r>
      <w:proofErr w:type="spellEnd"/>
      <w:r w:rsidR="006B317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makroglobulinemij</w:t>
      </w:r>
      <w:r w:rsidR="006B317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 kompozicija apima kristalinę</w:t>
      </w:r>
      <w:r w:rsidR="006B317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)-4-(8-amino-3-(1-(but-2-inoil)pirolidin-2-il)imidazo[1,5-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a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]pirazin-1-il)-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N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-(piridin-2-il)benzamido laisva baz</w:t>
      </w:r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ę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 kristalinė (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)-4-(8-amino-3-(1-(but-2-inoil)pirolidin-2-</w:t>
      </w:r>
      <w:r w:rsidR="00DE17F0" w:rsidRPr="00F96809">
        <w:rPr>
          <w:rFonts w:ascii="Helvetica" w:hAnsi="Helvetica" w:cs="Helvetica"/>
          <w:sz w:val="20"/>
        </w:rPr>
        <w:t xml:space="preserve"> </w:t>
      </w:r>
      <w:proofErr w:type="spellStart"/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il</w:t>
      </w:r>
      <w:proofErr w:type="spellEnd"/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</w:t>
      </w:r>
      <w:proofErr w:type="spellStart"/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imidazo</w:t>
      </w:r>
      <w:proofErr w:type="spellEnd"/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[1,5-a]pirazin-1-il)-N-(piridin-2-il)</w:t>
      </w:r>
      <w:proofErr w:type="spellStart"/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benzamido</w:t>
      </w:r>
      <w:proofErr w:type="spellEnd"/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laisva bazė</w:t>
      </w:r>
    </w:p>
    <w:p w14:paraId="11025F6E" w14:textId="085B6B13" w:rsidR="00943E4B" w:rsidRPr="00F96809" w:rsidRDefault="00C80466" w:rsidP="00F96809">
      <w:pPr>
        <w:tabs>
          <w:tab w:val="left" w:pos="7513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96809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94F12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 e s i s k i r i a n t i</w:t>
      </w:r>
      <w:r w:rsidR="00F96809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perdavimo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entgeno spinduliuotės</w:t>
      </w:r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miltelių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difrakcijos modeli</w:t>
      </w:r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</w:t>
      </w:r>
      <w:r w:rsidR="00DE17F0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čiu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smailes ties 6,4, 8,6, 10,5, 11,6 ir 15,7 °2θ ± 0,2 °2θ, kur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bookmarkStart w:id="0" w:name="_Hlk133504780"/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Rentgeno spinduliuotės miltelių difrakcijos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modelis</w:t>
      </w:r>
      <w:bookmarkEnd w:id="0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buvo gautas naudojant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Cu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-K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α1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spinduliuotės šaltin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kristalin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)-4-(8-amino-3-(1-(but-2-inoil)pirolidin-2-il)imidazo[1,5-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a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]pirazin-1-il)-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N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-(piridin-2-il)benzamido laisvoji bazė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skiriama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doze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po 100 mg du kartus per parą.</w:t>
      </w:r>
    </w:p>
    <w:p w14:paraId="7AA842B4" w14:textId="77777777" w:rsidR="00594F12" w:rsidRPr="00F96809" w:rsidRDefault="00594F12" w:rsidP="00F96809">
      <w:pPr>
        <w:tabs>
          <w:tab w:val="left" w:pos="7513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423B58D" w14:textId="7BA79FC6" w:rsidR="00025D56" w:rsidRPr="00F96809" w:rsidRDefault="00C80466" w:rsidP="00F96809">
      <w:pPr>
        <w:tabs>
          <w:tab w:val="left" w:pos="7513"/>
        </w:tabs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943E4B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1 punktą, kur kristalin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)-4-(8-amino-3-(1-(but-2-inoil)pirolidin-2-il)imidazo[1,5-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a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]pirazin-1-il)-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N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-(piridin-2-il)benzamido laisva bazė yra</w:t>
      </w:r>
      <w:r w:rsidR="00F96809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94F12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 e s i s k i r i a n t i</w:t>
      </w:r>
      <w:r w:rsidR="00F96809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perdavimo Rentgeno spinduliuotės miltelių difrakcijos modeliu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papildomai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apiman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čiu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smailes ties 10,9, 12,7, 13,4, 14,3, 14,9 ir 18,2 °2θ ± 0,2 °2θ, kur 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Rentgeno spinduliuotės miltelių difrakcijos modelis buvo gautas naudojant </w:t>
      </w:r>
      <w:proofErr w:type="spellStart"/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Cu</w:t>
      </w:r>
      <w:proofErr w:type="spellEnd"/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-K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α1</w:t>
      </w:r>
      <w:r w:rsidR="00025D5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radiacijos šaltinį.</w:t>
      </w:r>
    </w:p>
    <w:p w14:paraId="2A9D752D" w14:textId="77777777" w:rsidR="00594F12" w:rsidRPr="00F96809" w:rsidRDefault="00594F12" w:rsidP="00F96809">
      <w:pPr>
        <w:tabs>
          <w:tab w:val="left" w:pos="7513"/>
        </w:tabs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5E10B30" w14:textId="3CDCB2F1" w:rsidR="00C10B3A" w:rsidRPr="00F96809" w:rsidRDefault="00C80466" w:rsidP="00F9680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943E4B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bet kurį iš 1 arba 2 punktų, kur kristalinė (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)-4-(8-amino-3-(1-(but-2-inoil)pirolidin-2-il)imidazo[1,5-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a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]pirazin-1-il)-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N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-(piridin-2-il)benzamido laisva bazė 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F96809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94F12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 e s i s k i r i a n t i</w:t>
      </w:r>
      <w:r w:rsidR="00F96809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perdavimo Rentgeno spinduliuotės miltelių difrakcijos modeliu, papildomai apimančiu</w:t>
      </w:r>
    </w:p>
    <w:p w14:paraId="35770901" w14:textId="77777777" w:rsidR="00C80466" w:rsidRPr="00F96809" w:rsidRDefault="00C80466" w:rsidP="00F96809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vieną ar daugiau smailių, parinktų iš grupės, susidedančios iš 11,3, 15,1, 15,7, 16,1, 17,3, 19,2, 19,4, 19,8, 20,7, 21,1, 21,4, 21,6, 21,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22,6,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,3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23,6, 24,9, 25,2, 25,4, 25,7, 26,1, 26,4, 26,8, 26,9, 27,7, 28,6, 29,1, 29,4, 30,1, 30,5, 3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3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1,9, 32,2, 32,6, 33,1, 33,4,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34,5, 35,9, 36,1, 36,8, 37,4, 38,1, 38,9 ir 39,5 °2θ ± 0,2 °2θ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kur Rentgeno spinduliuotės miltelių difrakcijos modelis buvo gautas naudojant </w:t>
      </w:r>
      <w:proofErr w:type="spellStart"/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Cu</w:t>
      </w:r>
      <w:proofErr w:type="spellEnd"/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-K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vertAlign w:val="subscript"/>
          <w:lang w:eastAsia="lt-LT"/>
          <w14:ligatures w14:val="none"/>
        </w:rPr>
        <w:t>α1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radiacijos šaltinį.</w:t>
      </w:r>
    </w:p>
    <w:p w14:paraId="588AC634" w14:textId="77777777" w:rsidR="00594F12" w:rsidRPr="00F96809" w:rsidRDefault="00594F12" w:rsidP="00F96809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E2E017A" w14:textId="18CD5C40" w:rsidR="00C10B3A" w:rsidRPr="00F96809" w:rsidRDefault="00C80466" w:rsidP="00F9680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bet kurį iš 1-3 punktų, kur kristalinė (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)-4-(8-amino-3-(1-(but-2-inoil)pirolidin-2-il)imidazo[1,5-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a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]pirazin-1-il)-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N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-(piridin-2-il)benzamido laisva bazė yra</w:t>
      </w:r>
      <w:r w:rsidR="00F96809" w:rsidRPr="00F96809">
        <w:rPr>
          <w:rFonts w:ascii="Helvetica" w:hAnsi="Helvetica" w:cs="Helvetica"/>
          <w:color w:val="000000"/>
          <w:spacing w:val="40"/>
          <w:sz w:val="20"/>
          <w:szCs w:val="24"/>
          <w:lang w:eastAsia="lt-LT"/>
        </w:rPr>
        <w:t xml:space="preserve"> </w:t>
      </w:r>
      <w:r w:rsidR="00594F12" w:rsidRPr="00F96809">
        <w:rPr>
          <w:rFonts w:ascii="Helvetica" w:hAnsi="Helvetica" w:cs="Helvetica"/>
          <w:color w:val="000000"/>
          <w:spacing w:val="40"/>
          <w:sz w:val="20"/>
          <w:szCs w:val="24"/>
          <w:lang w:eastAsia="lt-LT"/>
        </w:rPr>
        <w:t>b e s i s k i r i a n t i</w:t>
      </w:r>
      <w:r w:rsidR="00F96809" w:rsidRPr="00F96809">
        <w:rPr>
          <w:rFonts w:ascii="Helvetica" w:hAnsi="Helvetica" w:cs="Helvetica"/>
          <w:color w:val="000000"/>
          <w:spacing w:val="40"/>
          <w:sz w:val="20"/>
          <w:szCs w:val="24"/>
          <w:lang w:eastAsia="lt-LT"/>
        </w:rPr>
        <w:t xml:space="preserve">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Ramano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spektru, apimančiu smailes ties 1620, 1609, 1547, 1514 ir 1495 cm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-1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± 2 cm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-1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3928F34F" w14:textId="77777777" w:rsidR="00594F12" w:rsidRPr="00F96809" w:rsidRDefault="00594F12" w:rsidP="00F96809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1963963" w14:textId="0DFD8319" w:rsidR="00943E4B" w:rsidRPr="00F96809" w:rsidRDefault="00C80466" w:rsidP="00F9680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943E4B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4 punktą, kur kristalin</w:t>
      </w:r>
      <w:r w:rsidR="00C10B3A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)-4-(8-amino-3-(1-(but-2-inoil)pirolidin-2-il)imidazo[1,5-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a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]pirazin-1-il)-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N-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(piridin-2-il)benzamido laisva bazė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</w:t>
      </w:r>
      <w:r w:rsidR="00F96809" w:rsidRPr="00F96809">
        <w:rPr>
          <w:rFonts w:ascii="Helvetica" w:hAnsi="Helvetica" w:cs="Helvetica"/>
          <w:color w:val="000000"/>
          <w:spacing w:val="40"/>
          <w:sz w:val="20"/>
          <w:szCs w:val="24"/>
          <w:lang w:eastAsia="lt-LT"/>
        </w:rPr>
        <w:t xml:space="preserve"> </w:t>
      </w:r>
      <w:r w:rsidR="00594F12" w:rsidRPr="00F96809">
        <w:rPr>
          <w:rFonts w:ascii="Helvetica" w:hAnsi="Helvetica" w:cs="Helvetica"/>
          <w:color w:val="000000"/>
          <w:spacing w:val="40"/>
          <w:sz w:val="20"/>
          <w:szCs w:val="24"/>
          <w:lang w:eastAsia="lt-LT"/>
        </w:rPr>
        <w:t>b e s i s k i r i a n t i</w:t>
      </w:r>
      <w:r w:rsidR="00F96809" w:rsidRPr="00F96809">
        <w:rPr>
          <w:rFonts w:ascii="Helvetica" w:hAnsi="Helvetica" w:cs="Helvetica"/>
          <w:color w:val="000000"/>
          <w:spacing w:val="40"/>
          <w:sz w:val="20"/>
          <w:szCs w:val="24"/>
          <w:lang w:eastAsia="lt-LT"/>
        </w:rPr>
        <w:t xml:space="preserve"> </w:t>
      </w:r>
      <w:proofErr w:type="spellStart"/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Ramano</w:t>
      </w:r>
      <w:proofErr w:type="spellEnd"/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spektru, papildomai apimančiu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vieną ar daugiau smailių, parinktų iš grupės, susidedančios iš 1680, 1574, 1454, 1433, 1351, 1312, 1255, 1232, 1187, 1046, 995, 706, 406 cm ir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280 cm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-1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± 2 cm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-1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41559D9" w14:textId="77777777" w:rsidR="00594F12" w:rsidRPr="00F96809" w:rsidRDefault="00594F12" w:rsidP="00F96809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F57F677" w14:textId="010901C9" w:rsidR="00B157B6" w:rsidRPr="00F96809" w:rsidRDefault="00C80466" w:rsidP="00F9680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943E4B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bet kurį iš 1-5 punktų, kur kristalinė (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)-4-(8-amino-3-(1-(but-2-inoil)pirolidin-2-il)imidazo[1,5-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a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]pirazin-1-il)-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N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-(piridin-2-il)benzamido laisva bazė yra</w:t>
      </w:r>
    </w:p>
    <w:p w14:paraId="7C970B45" w14:textId="432C82BD" w:rsidR="00B157B6" w:rsidRPr="00F96809" w:rsidRDefault="00594F12" w:rsidP="00F96809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hAnsi="Helvetica" w:cs="Helvetica"/>
          <w:color w:val="000000"/>
          <w:spacing w:val="40"/>
          <w:sz w:val="20"/>
          <w:szCs w:val="24"/>
          <w:lang w:eastAsia="lt-LT"/>
        </w:rPr>
        <w:t>b e s i s k i r i a n t i</w:t>
      </w:r>
      <w:r w:rsidR="00F96809" w:rsidRPr="00F96809">
        <w:rPr>
          <w:rFonts w:ascii="Helvetica" w:hAnsi="Helvetica" w:cs="Helvetica"/>
          <w:color w:val="000000"/>
          <w:spacing w:val="40"/>
          <w:sz w:val="20"/>
          <w:szCs w:val="24"/>
          <w:lang w:eastAsia="lt-LT"/>
        </w:rPr>
        <w:t xml:space="preserve"> </w:t>
      </w:r>
      <w:r w:rsidR="00C8046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infraraudonųjų spindulių (IR) spektr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="00C8046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apiman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čiu</w:t>
      </w:r>
      <w:r w:rsidR="00C8046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smailes ties 1621, 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1608, 1403, 1303 ir 764 cm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-1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± 4 cm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-1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41E3D796" w14:textId="77777777" w:rsidR="00594F12" w:rsidRPr="00F96809" w:rsidRDefault="00594F12" w:rsidP="00F96809">
      <w:pPr>
        <w:spacing w:after="0" w:line="360" w:lineRule="auto"/>
        <w:jc w:val="both"/>
        <w:rPr>
          <w:rFonts w:ascii="Helvetica" w:hAnsi="Helvetica" w:cs="Helvetica"/>
          <w:color w:val="000000"/>
          <w:spacing w:val="40"/>
          <w:sz w:val="20"/>
          <w:szCs w:val="24"/>
          <w:lang w:eastAsia="lt-LT"/>
        </w:rPr>
      </w:pPr>
    </w:p>
    <w:p w14:paraId="1993501C" w14:textId="0B9F5FDD" w:rsidR="00943E4B" w:rsidRPr="00F96809" w:rsidRDefault="00C80466" w:rsidP="00F9680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7.</w:t>
      </w:r>
      <w:r w:rsidR="00943E4B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6 punktą, kur kristalin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)-4-(8-amino-3-(1-(but-2-inoil)pirolidin-2-il)imidazo[1,5-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a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]pirazin-1-il)-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N-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(piridin-2-il)benzamido laisva bazė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</w:t>
      </w:r>
      <w:r w:rsidR="00F96809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94F12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 e s i s k i r i a n t i</w:t>
      </w:r>
      <w:r w:rsidR="00F96809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 spektr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papildomai apiman</w:t>
      </w:r>
      <w:r w:rsidR="00ED565D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čiu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vieną ar daugiau smailių, parinktų iš grupės, susidedančios iš 3367, 3089, 2246, 1682, 1574, 1514, 1504, 1454, 1428, 1345, 1248, 1194, 1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177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1149, 1109, 1049, 1023,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1003, 947, 900, 858, 842, 816, 734, 729, 701, 689, 665, 623 ir 612 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cm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-1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± 4 cm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-1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D84DE65" w14:textId="77777777" w:rsidR="00594F12" w:rsidRPr="00F96809" w:rsidRDefault="00594F12" w:rsidP="00F96809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</w:pPr>
    </w:p>
    <w:p w14:paraId="160AC7D4" w14:textId="510B1DC5" w:rsidR="00EC453B" w:rsidRPr="00F96809" w:rsidRDefault="00C80466" w:rsidP="00F9680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943E4B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bet kurį iš 1-7 punktų, kur kristalin</w:t>
      </w:r>
      <w:r w:rsidR="00B157B6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(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S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)-4-(8-amino-3-(1-(but-2-inoil)pirolidin-2-il)imidazo[1,5-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a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]pirazin-1-il)-</w:t>
      </w:r>
      <w:r w:rsidRPr="00F96809">
        <w:rPr>
          <w:rFonts w:ascii="Helvetica" w:eastAsia="Times New Roman" w:hAnsi="Helvetica" w:cs="Helvetica"/>
          <w:i/>
          <w:iCs/>
          <w:kern w:val="0"/>
          <w:sz w:val="20"/>
          <w:szCs w:val="24"/>
          <w:lang w:eastAsia="lt-LT"/>
          <w14:ligatures w14:val="none"/>
        </w:rPr>
        <w:t>N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-(piridin-2-il)benzamido laisva bazė yra </w:t>
      </w:r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papildomai</w:t>
      </w:r>
      <w:r w:rsidR="00F96809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594F12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 e s i s k i r i a n t i</w:t>
      </w:r>
      <w:r w:rsidR="00F96809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tuo, kad kristalinėje struktūroje neturi vandens.</w:t>
      </w:r>
    </w:p>
    <w:p w14:paraId="6CD8F30A" w14:textId="77777777" w:rsidR="00594F12" w:rsidRPr="00F96809" w:rsidRDefault="00594F12" w:rsidP="00F96809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</w:pPr>
    </w:p>
    <w:p w14:paraId="5410610F" w14:textId="5BC13F26" w:rsidR="00EC453B" w:rsidRPr="00F96809" w:rsidRDefault="00C80466" w:rsidP="00F9680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943E4B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bet kurį iš 1-8 punktų, kur kompozicija papildomai apima bent vieną farmaciniu požiūriu priimtiną </w:t>
      </w:r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pagalbinę medžiagą.</w:t>
      </w:r>
    </w:p>
    <w:p w14:paraId="05A12A90" w14:textId="77777777" w:rsidR="00594F12" w:rsidRPr="00F96809" w:rsidRDefault="00594F12" w:rsidP="00F96809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3686DD2" w14:textId="4CE22A8B" w:rsidR="00EC453B" w:rsidRPr="00F96809" w:rsidRDefault="00C80466" w:rsidP="00F9680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943E4B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9 punktą, kur </w:t>
      </w:r>
      <w:proofErr w:type="spellStart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</w:t>
      </w:r>
      <w:proofErr w:type="spellEnd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liga yra lėtinė </w:t>
      </w:r>
      <w:proofErr w:type="spellStart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limfocitinė</w:t>
      </w:r>
      <w:proofErr w:type="spellEnd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leukemija.</w:t>
      </w:r>
    </w:p>
    <w:p w14:paraId="4C66E887" w14:textId="77777777" w:rsidR="00594F12" w:rsidRPr="00F96809" w:rsidRDefault="00594F12" w:rsidP="00F96809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43BA862" w14:textId="77777777" w:rsidR="00B05B2B" w:rsidRDefault="00C80466" w:rsidP="00B05B2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943E4B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9 punktą, kur</w:t>
      </w:r>
      <w:r w:rsidR="00EC453B" w:rsidRPr="00F96809">
        <w:rPr>
          <w:rFonts w:ascii="Helvetica" w:hAnsi="Helvetica" w:cs="Helvetica"/>
          <w:sz w:val="20"/>
        </w:rPr>
        <w:t xml:space="preserve"> </w:t>
      </w:r>
      <w:proofErr w:type="spellStart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</w:t>
      </w:r>
      <w:proofErr w:type="spellEnd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liga yra mantijos ląstelių limfoma.</w:t>
      </w:r>
    </w:p>
    <w:p w14:paraId="3C655AFD" w14:textId="77777777" w:rsidR="00B05B2B" w:rsidRDefault="00B05B2B" w:rsidP="00B05B2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2C2B0F9" w14:textId="7FB77736" w:rsidR="00EC453B" w:rsidRPr="00F96809" w:rsidRDefault="00C80466" w:rsidP="00B05B2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12.Kompozicija,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9 punktą, kur </w:t>
      </w:r>
      <w:proofErr w:type="spellStart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</w:t>
      </w:r>
      <w:proofErr w:type="spellEnd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liga yra difuzinė didelių B ląstelių limfoma.</w:t>
      </w:r>
    </w:p>
    <w:p w14:paraId="6BE90B29" w14:textId="77777777" w:rsidR="00594F12" w:rsidRPr="00F96809" w:rsidRDefault="00594F12" w:rsidP="00F96809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37E4720" w14:textId="77777777" w:rsidR="00B05B2B" w:rsidRDefault="00C80466" w:rsidP="00B05B2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F02E64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9 punktą, kur </w:t>
      </w:r>
      <w:proofErr w:type="spellStart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</w:t>
      </w:r>
      <w:proofErr w:type="spellEnd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liga yra folikulinė limfoma.</w:t>
      </w:r>
    </w:p>
    <w:p w14:paraId="0B2CD53E" w14:textId="77777777" w:rsidR="00B05B2B" w:rsidRDefault="00B05B2B" w:rsidP="00B05B2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323557C" w14:textId="6E7B4C59" w:rsidR="00EC453B" w:rsidRPr="00F96809" w:rsidRDefault="00C80466" w:rsidP="00B05B2B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F02E64" w:rsidRPr="00F96809">
        <w:rPr>
          <w:rFonts w:ascii="Helvetica" w:eastAsia="Times New Roman" w:hAnsi="Helvetica" w:cs="Helvetica"/>
          <w:b/>
          <w:bCs/>
          <w:kern w:val="0"/>
          <w:sz w:val="20"/>
          <w:szCs w:val="24"/>
          <w:lang w:eastAsia="lt-LT"/>
          <w14:ligatures w14:val="none"/>
        </w:rPr>
        <w:t xml:space="preserve"> </w:t>
      </w:r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</w:t>
      </w:r>
      <w:proofErr w:type="spellStart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hiperproliferacinės</w:t>
      </w:r>
      <w:proofErr w:type="spellEnd"/>
      <w:r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ligos gydymui pagal 9 punktą, kur </w:t>
      </w:r>
      <w:proofErr w:type="spellStart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hiperproliferacinė</w:t>
      </w:r>
      <w:proofErr w:type="spellEnd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liga yra </w:t>
      </w:r>
      <w:proofErr w:type="spellStart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Valdenštremo</w:t>
      </w:r>
      <w:proofErr w:type="spellEnd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makroglobulinemija</w:t>
      </w:r>
      <w:proofErr w:type="spellEnd"/>
      <w:r w:rsidR="00EC453B" w:rsidRPr="00F96809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sectPr w:rsidR="00EC453B" w:rsidRPr="00F96809" w:rsidSect="00F96809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A87C" w14:textId="77777777" w:rsidR="00BF04A2" w:rsidRDefault="00BF04A2" w:rsidP="00C80466">
      <w:pPr>
        <w:spacing w:after="0" w:line="240" w:lineRule="auto"/>
      </w:pPr>
      <w:r>
        <w:separator/>
      </w:r>
    </w:p>
  </w:endnote>
  <w:endnote w:type="continuationSeparator" w:id="0">
    <w:p w14:paraId="6BAC8EDC" w14:textId="77777777" w:rsidR="00BF04A2" w:rsidRDefault="00BF04A2" w:rsidP="00C8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571E" w14:textId="77777777" w:rsidR="00BF04A2" w:rsidRDefault="00BF04A2" w:rsidP="00C80466">
      <w:pPr>
        <w:spacing w:after="0" w:line="240" w:lineRule="auto"/>
      </w:pPr>
      <w:r>
        <w:separator/>
      </w:r>
    </w:p>
  </w:footnote>
  <w:footnote w:type="continuationSeparator" w:id="0">
    <w:p w14:paraId="4E66F563" w14:textId="77777777" w:rsidR="00BF04A2" w:rsidRDefault="00BF04A2" w:rsidP="00C80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66"/>
    <w:rsid w:val="00025D56"/>
    <w:rsid w:val="001A6E79"/>
    <w:rsid w:val="005164E4"/>
    <w:rsid w:val="00594F12"/>
    <w:rsid w:val="006B317B"/>
    <w:rsid w:val="007F5F70"/>
    <w:rsid w:val="00943E4B"/>
    <w:rsid w:val="00B05B2B"/>
    <w:rsid w:val="00B157B6"/>
    <w:rsid w:val="00BF04A2"/>
    <w:rsid w:val="00C10B3A"/>
    <w:rsid w:val="00C80466"/>
    <w:rsid w:val="00DE17F0"/>
    <w:rsid w:val="00EC453B"/>
    <w:rsid w:val="00EC4D3A"/>
    <w:rsid w:val="00ED565D"/>
    <w:rsid w:val="00F02E64"/>
    <w:rsid w:val="00F96809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630DE"/>
  <w15:chartTrackingRefBased/>
  <w15:docId w15:val="{422C8166-56B4-453C-A586-D5ED1122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8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80466"/>
  </w:style>
  <w:style w:type="paragraph" w:styleId="Porat">
    <w:name w:val="footer"/>
    <w:basedOn w:val="prastasis"/>
    <w:link w:val="PoratDiagrama"/>
    <w:uiPriority w:val="99"/>
    <w:unhideWhenUsed/>
    <w:rsid w:val="00C8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80466"/>
  </w:style>
  <w:style w:type="paragraph" w:styleId="Sraopastraipa">
    <w:name w:val="List Paragraph"/>
    <w:basedOn w:val="prastasis"/>
    <w:uiPriority w:val="34"/>
    <w:qFormat/>
    <w:rsid w:val="00DE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5F84-6E82-43F6-BEA7-43CF63AA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672</Words>
  <Characters>4625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10</cp:revision>
  <dcterms:created xsi:type="dcterms:W3CDTF">2023-04-27T12:08:00Z</dcterms:created>
  <dcterms:modified xsi:type="dcterms:W3CDTF">2023-05-04T10:35:00Z</dcterms:modified>
</cp:coreProperties>
</file>