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[R]- ir [S]-2,3-dihidro-1,3-dimetil-2-okso-1H-indol-3-acetonitrilų stereoselektyvios sintezės metodas, paremtas raceminių 5-alkoksipakeistų (+/-) -1,3-dimetiloksiindolų sąveika su halogenintu acetonitrilu, kaip katalizatoriui dalyvaujant pakeistam N-benzilcinchoninui, N-benzilchinidinui, N-benzilcinchonidinui arba N-benzilchininui. Susidrantys alkilinti oksiindolai, juos katalitiškai hidrinant dujiniu vandeniliu, gali būti paversti pirminiais aminais. Vienas iš susidarančių pirminių aminų, pav., 3-(2-aminoetil)-1,3-dihidro-1,3-dimetil-5-metoksi- 2H-indol-2-ono enantiomerų, gali būti prisotinamas, sąveikaujant su chiraline vyno rūgštimi, kurios kiekis turi būti pakankamas atitinkamai vieno iš enantiomerų druskai nusodinti. Tokiu būdu gautas produktas gali būti naudojamas fizostigmino ir kitų analogiškų junginių, pasižyminčių fiziologiniu aktyvumu, stereospecifinių formų sintezei.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