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44B7" w14:textId="01552024" w:rsidR="00074FFD" w:rsidRPr="0076578A" w:rsidRDefault="00074FFD" w:rsidP="00B23426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>1.</w:t>
      </w:r>
      <w:r w:rsidR="00B23426"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Vaisto dozavimo forma apimanti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tapentadolį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>, skirtą vartoti du kartus per dieną;</w:t>
      </w:r>
    </w:p>
    <w:p w14:paraId="21AEF4ED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kur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tapentadolis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yra druskos pavidalu su vyno rūgštimi;</w:t>
      </w:r>
    </w:p>
    <w:p w14:paraId="4FF6F6C6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kur vaisto dozavimo formos sudėtyje esanti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tapentadolio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svorio ekvivalentinė dozė yra nuo 10 iki 300 mg, palyginti su laisvąja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tapentadolio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baze; </w:t>
      </w:r>
    </w:p>
    <w:p w14:paraId="5065D921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>kur vaisto dozavimo forma yra tabletė;</w:t>
      </w:r>
    </w:p>
    <w:p w14:paraId="6E47A09A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kur vaisto dozavimo forma užtikrina ilgesnį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tapentadolio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išsiskyrimą; ir</w:t>
      </w:r>
    </w:p>
    <w:p w14:paraId="4CE91713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kur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tapentadolis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yra įterptas į pailginto atpalaidavimo matricą.</w:t>
      </w:r>
    </w:p>
    <w:p w14:paraId="4364FBB1" w14:textId="77777777" w:rsidR="00D26178" w:rsidRPr="0076578A" w:rsidRDefault="00D26178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6812EF00" w14:textId="7D63BFB8" w:rsidR="00074FFD" w:rsidRPr="0076578A" w:rsidRDefault="00074FFD" w:rsidP="00B23426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>2.</w:t>
      </w:r>
      <w:r w:rsidR="00B23426"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76578A">
        <w:rPr>
          <w:rFonts w:ascii="Helvetica" w:hAnsi="Helvetica" w:cs="Arial"/>
          <w:bCs/>
          <w:color w:val="000000"/>
          <w:sz w:val="20"/>
          <w:szCs w:val="24"/>
        </w:rPr>
        <w:t>Vaisto dozavimo forma pagal 1 punktą,</w:t>
      </w:r>
      <w:r w:rsidR="00B23426"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 b e s i s k i r i a n t i  </w:t>
      </w:r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tuo, kad druska yra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tapentadolio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druska su L-(+)-vyno rūgštimi,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solvatu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,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ansolvatu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ir / arba jo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polimorfine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forma, kristaline forma ir / arba jo amorfinė forma.</w:t>
      </w:r>
    </w:p>
    <w:p w14:paraId="68D7FBF0" w14:textId="77777777" w:rsidR="00B23426" w:rsidRPr="0076578A" w:rsidRDefault="00B23426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2BC9597B" w14:textId="12A43BED" w:rsidR="00D26178" w:rsidRPr="0076578A" w:rsidRDefault="00074FFD" w:rsidP="00B23426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>3.</w:t>
      </w:r>
      <w:r w:rsidR="00B23426"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76578A">
        <w:rPr>
          <w:rFonts w:ascii="Helvetica" w:hAnsi="Helvetica" w:cs="Arial"/>
          <w:bCs/>
          <w:color w:val="000000"/>
          <w:sz w:val="20"/>
          <w:szCs w:val="24"/>
        </w:rPr>
        <w:t>Vaisto dozavimo forma pagal 1 arba 2 punktą,</w:t>
      </w:r>
      <w:r w:rsidR="00B23426"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 b e s i s k i r i a n t i  </w:t>
      </w:r>
      <w:r w:rsidRPr="0076578A">
        <w:rPr>
          <w:rFonts w:ascii="Helvetica" w:hAnsi="Helvetica" w:cs="Arial"/>
          <w:bCs/>
          <w:color w:val="000000"/>
          <w:sz w:val="20"/>
          <w:szCs w:val="24"/>
        </w:rPr>
        <w:t>tuo, kad tabletė yra monolitinė.</w:t>
      </w:r>
    </w:p>
    <w:p w14:paraId="3967CB8F" w14:textId="3535AA93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0567D87B" w14:textId="0B0D2A2E" w:rsidR="00D26178" w:rsidRPr="0076578A" w:rsidRDefault="00074FFD" w:rsidP="00B23426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>4.</w:t>
      </w:r>
      <w:r w:rsidR="00B23426"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76578A">
        <w:rPr>
          <w:rFonts w:ascii="Helvetica" w:hAnsi="Helvetica" w:cs="Arial"/>
          <w:bCs/>
          <w:color w:val="000000"/>
          <w:sz w:val="20"/>
          <w:szCs w:val="24"/>
        </w:rPr>
        <w:t>Vaisto dozavimo forma pagal bet kurį iš ankstesnių punktų,</w:t>
      </w:r>
      <w:r w:rsidR="00B23426"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 b e s i s k i r i a n t i  </w:t>
      </w:r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tuo, kad tabletės trūkimo stipris yra mažiausiai 100 N, nustatytas pagal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Ph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>. Eur. 2.9.8.</w:t>
      </w:r>
    </w:p>
    <w:p w14:paraId="5DF910C1" w14:textId="18436298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26495EBD" w14:textId="185BCF9C" w:rsidR="00D26178" w:rsidRPr="0076578A" w:rsidRDefault="00074FFD" w:rsidP="00B23426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>5.</w:t>
      </w:r>
      <w:r w:rsidR="00B23426"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76578A">
        <w:rPr>
          <w:rFonts w:ascii="Helvetica" w:hAnsi="Helvetica" w:cs="Arial"/>
          <w:bCs/>
          <w:color w:val="000000"/>
          <w:sz w:val="20"/>
          <w:szCs w:val="24"/>
        </w:rPr>
        <w:t>Vaisto dozavimo forma pagal bet kurį iš ankstesnių punktų,</w:t>
      </w:r>
      <w:r w:rsidR="00B23426"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 b e s i s k i r i a n t i  </w:t>
      </w:r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tuo, kad vaisto dozavimo formoje esanti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tapentadolio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masės ekvivalentinė dozė yra 25 mg, 50 mg arba 100 mg kiekvienu atveju, lyginant su laisvąja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tapentadolio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baze; ir kur vaisto dozavimo formos bendra masė yra nuo 150 iki 750 mg.</w:t>
      </w:r>
    </w:p>
    <w:p w14:paraId="370493DB" w14:textId="37BD49C4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70A0D58D" w14:textId="2A1CD957" w:rsidR="00D26178" w:rsidRPr="0076578A" w:rsidRDefault="00074FFD" w:rsidP="00B23426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>6.</w:t>
      </w:r>
      <w:r w:rsidR="00B23426"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76578A">
        <w:rPr>
          <w:rFonts w:ascii="Helvetica" w:hAnsi="Helvetica" w:cs="Arial"/>
          <w:bCs/>
          <w:color w:val="000000"/>
          <w:sz w:val="20"/>
          <w:szCs w:val="24"/>
        </w:rPr>
        <w:t>Vaisto dozavimo forma pagal bet kurį iš 1–4 punktų,</w:t>
      </w:r>
      <w:r w:rsidR="00B23426"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 b e s i s k i r i a n t i  </w:t>
      </w:r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tuo, kad vaisto dozavimo formoje esanti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tapentadolio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masės ekvivalentinė dozė yra 150 mg, 200 mg arba 250 mg kiekvienu atveju, lyginant su laisvąja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tapentadolio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baze; ir kur vaisto formos bendra masė yra nuo 300 iki 1200 mg.</w:t>
      </w:r>
    </w:p>
    <w:p w14:paraId="45A906EF" w14:textId="41C7420D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007BD885" w14:textId="0F23FE50" w:rsidR="00074FFD" w:rsidRPr="0076578A" w:rsidRDefault="00074FFD" w:rsidP="00B23426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>7.</w:t>
      </w:r>
      <w:r w:rsidR="00B23426"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76578A">
        <w:rPr>
          <w:rFonts w:ascii="Helvetica" w:hAnsi="Helvetica" w:cs="Arial"/>
          <w:bCs/>
          <w:color w:val="000000"/>
          <w:sz w:val="20"/>
          <w:szCs w:val="24"/>
        </w:rPr>
        <w:t>Vaisto dozavimo forma pagal bet kurį iš ankstesnių punktų,</w:t>
      </w:r>
      <w:r w:rsidR="00B23426"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 b e s i s k i r i a n t i  </w:t>
      </w:r>
      <w:r w:rsidRPr="0076578A">
        <w:rPr>
          <w:rFonts w:ascii="Helvetica" w:hAnsi="Helvetica" w:cs="Arial"/>
          <w:bCs/>
          <w:color w:val="000000"/>
          <w:sz w:val="20"/>
          <w:szCs w:val="24"/>
        </w:rPr>
        <w:t>tuo, kad pailginto atpalaidavimo matrica apima arba daugiausiai susideda iš pailginto atpalaidavimo matricos medžiagos, parinktos iš grupės, kuri susideda iš</w:t>
      </w:r>
    </w:p>
    <w:p w14:paraId="2A2E03B1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(i)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hidroksipropilmetilceliuliozės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(HPMC);</w:t>
      </w:r>
    </w:p>
    <w:p w14:paraId="42505892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(ii)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hidroksipropilceliuliozės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(HPC);</w:t>
      </w:r>
    </w:p>
    <w:p w14:paraId="1F62B205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(iii)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hidroksietilceliuliozės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(HEC);</w:t>
      </w:r>
    </w:p>
    <w:p w14:paraId="285424DD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(iv)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mikrokristalinė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celiuliozės (MCC);</w:t>
      </w:r>
    </w:p>
    <w:p w14:paraId="3F16EADB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(v)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etilceliuliozės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(EB);</w:t>
      </w:r>
    </w:p>
    <w:p w14:paraId="6D3CB2B7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(vi)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polivinilacetato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(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PVAc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>);</w:t>
      </w:r>
    </w:p>
    <w:p w14:paraId="4CA10A8B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(vii)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polivinilpirolidono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(PVP);</w:t>
      </w:r>
    </w:p>
    <w:p w14:paraId="591E5E45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(viii)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polivinilpirolidono-vinilacetato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kopolimero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(PVP/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PVAc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>);</w:t>
      </w:r>
    </w:p>
    <w:p w14:paraId="7D136CDB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>(ix) poli(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etilakrilato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>-ko-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metil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>-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metakrilato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>-ko-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trimetilamonioetilo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metakrilato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chlorido);</w:t>
      </w:r>
    </w:p>
    <w:p w14:paraId="6D440E0F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>(x) poli(butilmetakrilato-ko-(2-dimetilaminoetilo)metakrilato-kometilmetakrilato);</w:t>
      </w:r>
    </w:p>
    <w:p w14:paraId="66DC4311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>(xi) poli(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metilmetakrilato-kometakrilo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rūgšties);</w:t>
      </w:r>
    </w:p>
    <w:p w14:paraId="2B05D97D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>(xii) poli(etilo akrilato-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kometakrilo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rūgšties);</w:t>
      </w:r>
    </w:p>
    <w:p w14:paraId="1A7562FC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>(xiii) poli(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metilakrilato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>-ko-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metil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>-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metakrilato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>-ko-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metakrilo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rūgšties);</w:t>
      </w:r>
    </w:p>
    <w:p w14:paraId="24631778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>(xiv) poli(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etilakrilato-kometilmetakrilato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>);</w:t>
      </w:r>
    </w:p>
    <w:p w14:paraId="088819BC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>(xv) poli(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etileno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oksido) (PEO);</w:t>
      </w:r>
    </w:p>
    <w:p w14:paraId="684FEB2E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lastRenderedPageBreak/>
        <w:t xml:space="preserve">(xvi)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polietilenglikolios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(PEG);</w:t>
      </w:r>
    </w:p>
    <w:p w14:paraId="5CFE3227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>(xvii) ilgos grandinės riebalų alkoholio, turinčio nuo 8 iki 50 anglies atomų, pageidautina nuo 12 iki 40 anglies atomų, kurie gali būti sotūs arba nesotūs, linijiniai arba šakoti;</w:t>
      </w:r>
    </w:p>
    <w:p w14:paraId="1ED6F855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(xviii)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cetostearilo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alkoholio;</w:t>
      </w:r>
    </w:p>
    <w:p w14:paraId="38019984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(xix)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stearilo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alkoholio;</w:t>
      </w:r>
    </w:p>
    <w:p w14:paraId="306B1F1E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(xx)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cetilo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alkoholio;</w:t>
      </w:r>
    </w:p>
    <w:p w14:paraId="1895844A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(xxi) angliavandenilio, parinkto iš grupės, susidedančios iš ilgos grandinės riebalų rūgščių, turinčių nuo 8 iki 50 anglies atomų, pageidautina nuo 12 iki 40 anglies atomų, kurie gali būti sotūs arba nesotūs, linijiniai arba šakoti; tokių ilgos grandinės riebalų rūgščių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glicerilo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esterio, mineralinio aliejaus, augalinio aliejaus ir vaško;</w:t>
      </w:r>
    </w:p>
    <w:p w14:paraId="3B00BBD0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(xxii)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ksantano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dervos;</w:t>
      </w:r>
    </w:p>
    <w:p w14:paraId="2631E57E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(xxiii) natrio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alginato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>;</w:t>
      </w:r>
    </w:p>
    <w:p w14:paraId="633DDED3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(xxiv)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guaro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dervos;</w:t>
      </w:r>
    </w:p>
    <w:p w14:paraId="579A2C80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>(xxv) saldžiavaisio pupmedžio dervos; ir</w:t>
      </w:r>
    </w:p>
    <w:p w14:paraId="1ABB4656" w14:textId="77777777" w:rsidR="00D26178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>bet kokio aukščiau išvardyto mišinio.</w:t>
      </w:r>
    </w:p>
    <w:p w14:paraId="50AA2143" w14:textId="0E7A3618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38D1BFA1" w14:textId="16FBC70C" w:rsidR="00D26178" w:rsidRPr="0076578A" w:rsidRDefault="00074FFD" w:rsidP="00B23426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>8.</w:t>
      </w:r>
      <w:r w:rsidR="00B23426"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76578A">
        <w:rPr>
          <w:rFonts w:ascii="Helvetica" w:hAnsi="Helvetica" w:cs="Arial"/>
          <w:bCs/>
          <w:color w:val="000000"/>
          <w:sz w:val="20"/>
          <w:szCs w:val="24"/>
        </w:rPr>
        <w:t>Vaisto dozavimo forma pagal 7 punktą,</w:t>
      </w:r>
      <w:r w:rsidR="00B23426"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 b e s i s k i r i a n t i  </w:t>
      </w:r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tuo, kad pailginto atpalaidavimo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matricinės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medžiagos kiekis pageidautinai yra 15±10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wt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.-%, arba 20±10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wt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.-%, arba 25±10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wt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.-%, arba 30±10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wt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.-%, arba 35±10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wt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.-%, arba 40±10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wt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.-%, arba 45±10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wt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.-%, arba 50±10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wt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.-%, arba 55±10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wt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.-%, arba 60±10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wt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.-%, arba 65±10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wt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.-%, arba 70±10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wt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.-%, arba 75±10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wt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.-%, arba 80±10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wt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>.-%, ribose, kiekvienu atveju atsižvelgiant į bendrą vaisto formos svorį.</w:t>
      </w:r>
    </w:p>
    <w:p w14:paraId="29CADD5C" w14:textId="67A56FF6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6BBDD80A" w14:textId="63CA6C31" w:rsidR="00D26178" w:rsidRPr="0076578A" w:rsidRDefault="00074FFD" w:rsidP="00B23426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>9.</w:t>
      </w:r>
      <w:r w:rsidR="00B23426"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76578A">
        <w:rPr>
          <w:rFonts w:ascii="Helvetica" w:hAnsi="Helvetica" w:cs="Arial"/>
          <w:bCs/>
          <w:color w:val="000000"/>
          <w:sz w:val="20"/>
          <w:szCs w:val="24"/>
        </w:rPr>
        <w:t>Vaisto dozavimo forma pagal bet kurį iš ankstesnių punktų, skirtas naudoti skausmo gydymui.</w:t>
      </w:r>
    </w:p>
    <w:p w14:paraId="669AD9FA" w14:textId="7D7A1041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7CFD137E" w14:textId="7CBD1921" w:rsidR="00D26178" w:rsidRPr="0076578A" w:rsidRDefault="00074FFD" w:rsidP="00B23426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>10.</w:t>
      </w:r>
      <w:r w:rsidR="00B23426"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76578A">
        <w:rPr>
          <w:rFonts w:ascii="Helvetica" w:hAnsi="Helvetica" w:cs="Arial"/>
          <w:bCs/>
          <w:color w:val="000000"/>
          <w:sz w:val="20"/>
          <w:szCs w:val="24"/>
        </w:rPr>
        <w:t>Vaisto dozavimo forma, skirta naudoti pagal 9 punktą, kur vaisto dozavimo forma yra vartojama per burną.</w:t>
      </w:r>
    </w:p>
    <w:p w14:paraId="5DA93791" w14:textId="7A15B5BB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550811AC" w14:textId="6B38B8C8" w:rsidR="00D26178" w:rsidRPr="0076578A" w:rsidRDefault="00074FFD" w:rsidP="00B23426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>11.</w:t>
      </w:r>
      <w:r w:rsidR="00B23426"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76578A">
        <w:rPr>
          <w:rFonts w:ascii="Helvetica" w:hAnsi="Helvetica" w:cs="Arial"/>
          <w:bCs/>
          <w:color w:val="000000"/>
          <w:sz w:val="20"/>
          <w:szCs w:val="24"/>
        </w:rPr>
        <w:t>Vaisto dozavimo forma, skirta vartoti pagal 9 arba 10 punktą, kai dozavimo forma vartojama du kartus per dieną.</w:t>
      </w:r>
    </w:p>
    <w:p w14:paraId="3FC59728" w14:textId="50FE2A86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1E9DAE78" w14:textId="3B1FE0C1" w:rsidR="00D26178" w:rsidRPr="0076578A" w:rsidRDefault="00074FFD" w:rsidP="00B23426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>12.</w:t>
      </w:r>
      <w:r w:rsidR="00B23426"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Vaisto forma, skirta naudoti pagal bet kurį iš 9–11 punktų, kuri po oralinio vartojimo užtikrina tokią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tapentadolio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koncentraciją plazmoje, kuri numalšina skausmą mažiausiai 6 valandom.</w:t>
      </w:r>
    </w:p>
    <w:p w14:paraId="1A44BF70" w14:textId="51C76D1C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49448BC5" w14:textId="0C451871" w:rsidR="00D26178" w:rsidRPr="0076578A" w:rsidRDefault="00074FFD" w:rsidP="00B23426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>13.</w:t>
      </w:r>
      <w:r w:rsidR="00B23426"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76578A">
        <w:rPr>
          <w:rFonts w:ascii="Helvetica" w:hAnsi="Helvetica" w:cs="Arial"/>
          <w:bCs/>
          <w:color w:val="000000"/>
          <w:sz w:val="20"/>
          <w:szCs w:val="24"/>
        </w:rPr>
        <w:t>Vaisto forma, skirta naudoti pagal bet kurį iš 9–12 punktų, kur skausmas yra lėtinis.</w:t>
      </w:r>
    </w:p>
    <w:p w14:paraId="5A70E05C" w14:textId="64CEDABA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375C1DDC" w14:textId="0C279013" w:rsidR="00074FFD" w:rsidRPr="0076578A" w:rsidRDefault="00074FFD" w:rsidP="00B23426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>14.</w:t>
      </w:r>
      <w:r w:rsidR="00B23426"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76578A">
        <w:rPr>
          <w:rFonts w:ascii="Helvetica" w:hAnsi="Helvetica" w:cs="Arial"/>
          <w:bCs/>
          <w:color w:val="000000"/>
          <w:sz w:val="20"/>
          <w:szCs w:val="24"/>
        </w:rPr>
        <w:t>Vaisto dozavimo formos gavimo būdas pagal bet kurį iš 1–13 punktų, kur būdas apima tokius etapus</w:t>
      </w:r>
    </w:p>
    <w:p w14:paraId="63F26519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(a) pateikiamas mišinys, daugiausiai turintis visą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tapentadolio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kiekį, kuris turi būti vaisto formoje, ir bent vieną pailginto atpalaidavimo matricos medžiagą, pasirinktinai kartu su vienu ar daugiau pagalbinių medžiagų;</w:t>
      </w:r>
    </w:p>
    <w:p w14:paraId="651D6AAA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(b) pasirinktinai granuliuojamas (a) etape gautas mišinys, tokiu būdu išgaunant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granuliatą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>;</w:t>
      </w:r>
    </w:p>
    <w:p w14:paraId="3491DBE4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(c) pasirinktinai sumaišomas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granuliatas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>, gautas (b) etape su vienu arba daugiau pagalbinių medžiagų, tokiu būdu išgaunant granulių mišinį;</w:t>
      </w:r>
    </w:p>
    <w:p w14:paraId="5AAD9564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(d) (a) etape gauto mišinio arba (b) etape gauto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granuliato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arba (c) etape gauto granulių mišinio suspaudimas į tabletes;</w:t>
      </w:r>
    </w:p>
    <w:p w14:paraId="5048F5D1" w14:textId="77777777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t>(e) pasirinktinai, (d) etape supresuotų tablečių padengimas plėvele.</w:t>
      </w:r>
    </w:p>
    <w:p w14:paraId="1A0B40A0" w14:textId="10FB1910" w:rsidR="00074FFD" w:rsidRPr="0076578A" w:rsidRDefault="00074FFD" w:rsidP="00B23426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3CBAEA9B" w14:textId="79D8E5F6" w:rsidR="00074FFD" w:rsidRPr="0076578A" w:rsidRDefault="00074FFD" w:rsidP="00B23426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76578A">
        <w:rPr>
          <w:rFonts w:ascii="Helvetica" w:hAnsi="Helvetica" w:cs="Arial"/>
          <w:bCs/>
          <w:color w:val="000000"/>
          <w:sz w:val="20"/>
          <w:szCs w:val="24"/>
        </w:rPr>
        <w:lastRenderedPageBreak/>
        <w:t>15.</w:t>
      </w:r>
      <w:r w:rsidR="00B23426"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Būdas pagal 14 punktą, kuriame (d) etape suspaudimas vyksta esant ne didesnei kaip 20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kN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suspaudimo jėgai, ypač pageidautina ne didesnei kaip 15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kN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, dar labiau pageidautina ne didesnei kaip 10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kN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, dar labiau pageidautina ne didesnei kaip 9,5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kN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, dar labiau pageidautina ne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didesniai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kaip 9,0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kN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, geriausia ne daugiau kaip 8,75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kN</w:t>
      </w:r>
      <w:proofErr w:type="spellEnd"/>
      <w:r w:rsidRPr="0076578A">
        <w:rPr>
          <w:rFonts w:ascii="Helvetica" w:hAnsi="Helvetica" w:cs="Arial"/>
          <w:bCs/>
          <w:color w:val="000000"/>
          <w:sz w:val="20"/>
          <w:szCs w:val="24"/>
        </w:rPr>
        <w:t xml:space="preserve"> ir ypač ne daugiau kaip 8,5 </w:t>
      </w:r>
      <w:proofErr w:type="spellStart"/>
      <w:r w:rsidRPr="0076578A">
        <w:rPr>
          <w:rFonts w:ascii="Helvetica" w:hAnsi="Helvetica" w:cs="Arial"/>
          <w:bCs/>
          <w:color w:val="000000"/>
          <w:sz w:val="20"/>
          <w:szCs w:val="24"/>
        </w:rPr>
        <w:t>kN.</w:t>
      </w:r>
      <w:proofErr w:type="spellEnd"/>
    </w:p>
    <w:sectPr w:rsidR="00074FFD" w:rsidRPr="0076578A" w:rsidSect="00B23426">
      <w:pgSz w:w="11906" w:h="16838" w:code="1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28F5F" w14:textId="77777777" w:rsidR="00B33FCC" w:rsidRDefault="00B33FCC" w:rsidP="004E03A6">
      <w:pPr>
        <w:spacing w:after="0" w:line="240" w:lineRule="auto"/>
      </w:pPr>
      <w:r>
        <w:separator/>
      </w:r>
    </w:p>
  </w:endnote>
  <w:endnote w:type="continuationSeparator" w:id="0">
    <w:p w14:paraId="1181987D" w14:textId="77777777" w:rsidR="00B33FCC" w:rsidRDefault="00B33FCC" w:rsidP="004E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123BF" w14:textId="77777777" w:rsidR="00B33FCC" w:rsidRDefault="00B33FCC" w:rsidP="004E03A6">
      <w:pPr>
        <w:spacing w:after="0" w:line="240" w:lineRule="auto"/>
      </w:pPr>
      <w:r>
        <w:separator/>
      </w:r>
    </w:p>
  </w:footnote>
  <w:footnote w:type="continuationSeparator" w:id="0">
    <w:p w14:paraId="228D5110" w14:textId="77777777" w:rsidR="00B33FCC" w:rsidRDefault="00B33FCC" w:rsidP="004E03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3D9"/>
    <w:rsid w:val="00024E0C"/>
    <w:rsid w:val="00074FFD"/>
    <w:rsid w:val="001701EC"/>
    <w:rsid w:val="001A639B"/>
    <w:rsid w:val="003E026A"/>
    <w:rsid w:val="004E03A6"/>
    <w:rsid w:val="0060799B"/>
    <w:rsid w:val="0076578A"/>
    <w:rsid w:val="00865A6C"/>
    <w:rsid w:val="00935A82"/>
    <w:rsid w:val="00987061"/>
    <w:rsid w:val="00AF2849"/>
    <w:rsid w:val="00B23426"/>
    <w:rsid w:val="00B33FCC"/>
    <w:rsid w:val="00BE33D9"/>
    <w:rsid w:val="00BE38C2"/>
    <w:rsid w:val="00C41626"/>
    <w:rsid w:val="00C96A35"/>
    <w:rsid w:val="00D2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0700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ld">
    <w:name w:val="bold"/>
    <w:basedOn w:val="Numatytasispastraiposriftas"/>
    <w:rsid w:val="00074FFD"/>
  </w:style>
  <w:style w:type="paragraph" w:customStyle="1" w:styleId="dec">
    <w:name w:val="dec"/>
    <w:basedOn w:val="prastasis"/>
    <w:rsid w:val="0007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4E0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E03A6"/>
  </w:style>
  <w:style w:type="paragraph" w:styleId="Porat">
    <w:name w:val="footer"/>
    <w:basedOn w:val="prastasis"/>
    <w:link w:val="PoratDiagrama"/>
    <w:uiPriority w:val="99"/>
    <w:unhideWhenUsed/>
    <w:rsid w:val="004E0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E0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2022-08-02T10:51:00Z</dcterms:created>
  <dcterms:modified xsi:type="dcterms:W3CDTF">2022-08-16T05:09:00Z</dcterms:modified>
</cp:coreProperties>
</file>