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8D3E" w14:textId="77777777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1.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skirtas naudoti taikant lėtinės inkstų ligos gydymo būdą pacientui, sergančiam lėtine inkstų liga, kur minėtas būdas apima </w:t>
      </w:r>
      <w:proofErr w:type="spellStart"/>
      <w:r w:rsidRPr="00962868">
        <w:rPr>
          <w:rFonts w:ascii="Helvetica" w:hAnsi="Helvetica"/>
          <w:sz w:val="20"/>
          <w:lang w:val="lt-LT"/>
        </w:rPr>
        <w:t>empagliflozino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įvedimą pacientui, pasirinktinai derinyje su viena arba daugiau kitų terapinių medžiagų, kur pacientas, sergantis lėtine inkstų liga, yra pacientas, sergantis 2 stadijos lėtine inkstų liga, 3 stadijos lėtine inkstų liga arba 4 stadijos lėtine inkstų liga, arba pacientas, kuriam nustatyta </w:t>
      </w:r>
      <w:proofErr w:type="spellStart"/>
      <w:r w:rsidRPr="00962868">
        <w:rPr>
          <w:rFonts w:ascii="Helvetica" w:hAnsi="Helvetica"/>
          <w:sz w:val="20"/>
          <w:lang w:val="lt-LT"/>
        </w:rPr>
        <w:t>mikroalbuminurija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arba </w:t>
      </w:r>
      <w:proofErr w:type="spellStart"/>
      <w:r w:rsidRPr="00962868">
        <w:rPr>
          <w:rFonts w:ascii="Helvetica" w:hAnsi="Helvetica"/>
          <w:sz w:val="20"/>
          <w:lang w:val="lt-LT"/>
        </w:rPr>
        <w:t>makroalbuminurija</w:t>
      </w:r>
      <w:proofErr w:type="spellEnd"/>
      <w:r w:rsidRPr="00962868">
        <w:rPr>
          <w:rFonts w:ascii="Helvetica" w:hAnsi="Helvetica"/>
          <w:sz w:val="20"/>
          <w:lang w:val="lt-LT"/>
        </w:rPr>
        <w:t>.</w:t>
      </w:r>
    </w:p>
    <w:p w14:paraId="0CCC5F04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765C79D" w14:textId="77777777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2.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>, skirtas naudoti taikant lėtinės inkstų ligos gydymo būdą pagal 1 punktą, apimantį lėtinės inkstų ligos progresavimo sulėtinimą, kur minėtos lėtinės inkstų ligos progresavimas yra progresavimas iki galutinės stadijos inkstų ligos / inkstų nepakankamumo arba inkstų sukeltos mirties pacientui.</w:t>
      </w:r>
    </w:p>
    <w:p w14:paraId="36A79D7D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7519AE0" w14:textId="45EC2427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3.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skirtas naudoti taikant lėtinės inkstų ligos gydymo būdą pagal 1 punktą, apimantis </w:t>
      </w:r>
      <w:proofErr w:type="spellStart"/>
      <w:r w:rsidR="00C9539C" w:rsidRPr="00962868">
        <w:rPr>
          <w:rFonts w:ascii="Helvetica" w:hAnsi="Helvetica"/>
          <w:sz w:val="20"/>
          <w:lang w:val="lt-LT"/>
        </w:rPr>
        <w:t>eGFG</w:t>
      </w:r>
      <w:proofErr w:type="spellEnd"/>
      <w:r w:rsidR="00C9539C" w:rsidRPr="00962868">
        <w:rPr>
          <w:rFonts w:ascii="Helvetica" w:hAnsi="Helvetica"/>
          <w:sz w:val="20"/>
          <w:lang w:val="lt-LT"/>
        </w:rPr>
        <w:t xml:space="preserve"> mažėjimo </w:t>
      </w:r>
      <w:r w:rsidRPr="00962868">
        <w:rPr>
          <w:rFonts w:ascii="Helvetica" w:hAnsi="Helvetica"/>
          <w:sz w:val="20"/>
          <w:lang w:val="lt-LT"/>
        </w:rPr>
        <w:t>prevenciją, apsaugą nuo</w:t>
      </w:r>
      <w:r w:rsidR="00C26898" w:rsidRPr="00962868">
        <w:rPr>
          <w:rFonts w:ascii="Helvetica" w:hAnsi="Helvetica"/>
          <w:sz w:val="20"/>
          <w:lang w:val="lt-LT"/>
        </w:rPr>
        <w:t xml:space="preserve"> to</w:t>
      </w:r>
      <w:r w:rsidRPr="00962868">
        <w:rPr>
          <w:rFonts w:ascii="Helvetica" w:hAnsi="Helvetica"/>
          <w:sz w:val="20"/>
          <w:lang w:val="lt-LT"/>
        </w:rPr>
        <w:t xml:space="preserve"> arba </w:t>
      </w:r>
      <w:r w:rsidR="00C26898" w:rsidRPr="00962868">
        <w:rPr>
          <w:rFonts w:ascii="Helvetica" w:hAnsi="Helvetica"/>
          <w:sz w:val="20"/>
          <w:lang w:val="lt-LT"/>
        </w:rPr>
        <w:t>sulėtėjimo stabdymą</w:t>
      </w:r>
      <w:r w:rsidRPr="00962868">
        <w:rPr>
          <w:rFonts w:ascii="Helvetica" w:hAnsi="Helvetica"/>
          <w:sz w:val="20"/>
          <w:lang w:val="lt-LT"/>
        </w:rPr>
        <w:t xml:space="preserve">, pavyzdžiui, nuolatinio </w:t>
      </w:r>
      <w:proofErr w:type="spellStart"/>
      <w:r w:rsidR="00C9539C" w:rsidRPr="00962868">
        <w:rPr>
          <w:rFonts w:ascii="Helvetica" w:hAnsi="Helvetica"/>
          <w:sz w:val="20"/>
          <w:lang w:val="lt-LT"/>
        </w:rPr>
        <w:t>eGFG</w:t>
      </w:r>
      <w:proofErr w:type="spellEnd"/>
      <w:r w:rsidR="00C9539C" w:rsidRPr="00962868">
        <w:rPr>
          <w:rFonts w:ascii="Helvetica" w:hAnsi="Helvetica"/>
          <w:sz w:val="20"/>
          <w:lang w:val="lt-LT"/>
        </w:rPr>
        <w:t xml:space="preserve"> </w:t>
      </w:r>
      <w:r w:rsidR="00C26898" w:rsidRPr="00962868">
        <w:rPr>
          <w:rFonts w:ascii="Helvetica" w:hAnsi="Helvetica"/>
          <w:sz w:val="20"/>
          <w:lang w:val="lt-LT"/>
        </w:rPr>
        <w:t xml:space="preserve">mažėjimą </w:t>
      </w:r>
      <w:r w:rsidRPr="00962868">
        <w:rPr>
          <w:rFonts w:ascii="Helvetica" w:hAnsi="Helvetica"/>
          <w:sz w:val="20"/>
          <w:lang w:val="lt-LT"/>
        </w:rPr>
        <w:t>≥ 50 % minėtam pacientui.</w:t>
      </w:r>
    </w:p>
    <w:p w14:paraId="70AF74BD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61E700C" w14:textId="77777777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4.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skirtas naudoti pagal bet kurį iš ankstesnių punktų, kur pacientas serga </w:t>
      </w:r>
      <w:proofErr w:type="spellStart"/>
      <w:r w:rsidRPr="00962868">
        <w:rPr>
          <w:rFonts w:ascii="Helvetica" w:hAnsi="Helvetica"/>
          <w:sz w:val="20"/>
          <w:lang w:val="lt-LT"/>
        </w:rPr>
        <w:t>prediabetu</w:t>
      </w:r>
      <w:proofErr w:type="spellEnd"/>
      <w:r w:rsidRPr="00962868">
        <w:rPr>
          <w:rFonts w:ascii="Helvetica" w:hAnsi="Helvetica"/>
          <w:sz w:val="20"/>
          <w:lang w:val="lt-LT"/>
        </w:rPr>
        <w:t>, 1 tipo arba 2 tipo cukriniu diabetu.</w:t>
      </w:r>
    </w:p>
    <w:p w14:paraId="28BD39BA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E5C6557" w14:textId="0F33B4ED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5.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>, skirtas naudoti pagal bet kurį iš ankstesnių punktų, kur pacientas serga širdies ir kraujagyslių liga arba jam yra rizika susirgti</w:t>
      </w:r>
      <w:r w:rsidR="00C26898" w:rsidRPr="00962868">
        <w:rPr>
          <w:rFonts w:ascii="Helvetica" w:hAnsi="Helvetica"/>
          <w:sz w:val="20"/>
          <w:lang w:val="lt-LT"/>
        </w:rPr>
        <w:t xml:space="preserve"> širdies ir kraujagyslių liga</w:t>
      </w:r>
      <w:r w:rsidRPr="00962868">
        <w:rPr>
          <w:rFonts w:ascii="Helvetica" w:hAnsi="Helvetica"/>
          <w:sz w:val="20"/>
          <w:lang w:val="lt-LT"/>
        </w:rPr>
        <w:t>.</w:t>
      </w:r>
    </w:p>
    <w:p w14:paraId="39A8B377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7F9B59F" w14:textId="70903B68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6.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>, skirtas naudoti pagal 1 ir (arba) 2 punktus, kur pacientas</w:t>
      </w:r>
      <w:r w:rsidR="00C26898" w:rsidRPr="00962868">
        <w:rPr>
          <w:rFonts w:ascii="Helvetica" w:hAnsi="Helvetica"/>
          <w:sz w:val="20"/>
          <w:lang w:val="lt-LT"/>
        </w:rPr>
        <w:t xml:space="preserve"> </w:t>
      </w:r>
      <w:r w:rsidR="00041F78" w:rsidRPr="00962868">
        <w:rPr>
          <w:rFonts w:ascii="Helvetica" w:hAnsi="Helvetica"/>
          <w:sz w:val="20"/>
          <w:lang w:val="lt-LT"/>
        </w:rPr>
        <w:t>yra pacientas, sergantis</w:t>
      </w:r>
      <w:r w:rsidRPr="00962868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962868">
        <w:rPr>
          <w:rFonts w:ascii="Helvetica" w:hAnsi="Helvetica"/>
          <w:sz w:val="20"/>
          <w:lang w:val="lt-LT"/>
        </w:rPr>
        <w:t>prediabetu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1 arba 2 tipo cukriniu diabetu ir širdies ir kraujagyslių liga arba </w:t>
      </w:r>
      <w:r w:rsidR="00C26898" w:rsidRPr="00962868">
        <w:rPr>
          <w:rFonts w:ascii="Helvetica" w:hAnsi="Helvetica"/>
          <w:sz w:val="20"/>
          <w:lang w:val="lt-LT"/>
        </w:rPr>
        <w:t>jam yra rizika susirgti širdies ir kraujagyslių liga</w:t>
      </w:r>
      <w:r w:rsidRPr="00962868">
        <w:rPr>
          <w:rFonts w:ascii="Helvetica" w:hAnsi="Helvetica"/>
          <w:sz w:val="20"/>
          <w:lang w:val="lt-LT"/>
        </w:rPr>
        <w:t>.</w:t>
      </w:r>
    </w:p>
    <w:p w14:paraId="61B962FC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0174FAA" w14:textId="77777777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7.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>, skirtas naudoti pagal bet kurį iš ankstesnių punktų, kur pacientas yra pacientas, sergantis 3 stadijos lėtine inkstų liga arba 4 stadijos lėtine inkstų liga.</w:t>
      </w:r>
    </w:p>
    <w:p w14:paraId="3957F8BC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EEE252D" w14:textId="6843F433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8.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skirtas naudoti pagal 7 punktą, kur pacientas </w:t>
      </w:r>
      <w:r w:rsidR="00041F78" w:rsidRPr="00962868">
        <w:rPr>
          <w:rFonts w:ascii="Helvetica" w:hAnsi="Helvetica"/>
          <w:sz w:val="20"/>
          <w:lang w:val="lt-LT"/>
        </w:rPr>
        <w:t>yra pacientas, sergantis</w:t>
      </w:r>
      <w:r w:rsidRPr="00962868">
        <w:rPr>
          <w:rFonts w:ascii="Helvetica" w:hAnsi="Helvetica"/>
          <w:sz w:val="20"/>
          <w:lang w:val="lt-LT"/>
        </w:rPr>
        <w:t xml:space="preserve"> 3A stadijos lėtine inkstų liga arba 3B stadijos lėtine inkstų liga.</w:t>
      </w:r>
    </w:p>
    <w:p w14:paraId="11152A3C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401EF13" w14:textId="11FC2644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9.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skirtas naudoti pagal 7 punktą, kur pacientas </w:t>
      </w:r>
      <w:r w:rsidR="00041F78" w:rsidRPr="00962868">
        <w:rPr>
          <w:rFonts w:ascii="Helvetica" w:hAnsi="Helvetica"/>
          <w:sz w:val="20"/>
          <w:lang w:val="lt-LT"/>
        </w:rPr>
        <w:t>yra pacientas, sergantis</w:t>
      </w:r>
      <w:r w:rsidRPr="00962868">
        <w:rPr>
          <w:rFonts w:ascii="Helvetica" w:hAnsi="Helvetica"/>
          <w:sz w:val="20"/>
          <w:lang w:val="lt-LT"/>
        </w:rPr>
        <w:t xml:space="preserve"> 3B stadijos lėtine inkstų liga arba 4 stadijos lėtine inkstų liga.</w:t>
      </w:r>
    </w:p>
    <w:p w14:paraId="093D9D59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BCA131C" w14:textId="1154BB19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10.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>, skirtas naudoti pagal bet kurį iš ankstesnių punktų, kur pacient</w:t>
      </w:r>
      <w:r w:rsidR="00041F78" w:rsidRPr="00962868">
        <w:rPr>
          <w:rFonts w:ascii="Helvetica" w:hAnsi="Helvetica"/>
          <w:sz w:val="20"/>
          <w:lang w:val="lt-LT"/>
        </w:rPr>
        <w:t>as yra pacientas, sergantis</w:t>
      </w:r>
      <w:r w:rsidRPr="00962868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962868">
        <w:rPr>
          <w:rFonts w:ascii="Helvetica" w:hAnsi="Helvetica"/>
          <w:sz w:val="20"/>
          <w:lang w:val="lt-LT"/>
        </w:rPr>
        <w:t>makroalbuminurija</w:t>
      </w:r>
      <w:proofErr w:type="spellEnd"/>
      <w:r w:rsidRPr="00962868">
        <w:rPr>
          <w:rFonts w:ascii="Helvetica" w:hAnsi="Helvetica"/>
          <w:sz w:val="20"/>
          <w:lang w:val="lt-LT"/>
        </w:rPr>
        <w:t>.</w:t>
      </w:r>
    </w:p>
    <w:p w14:paraId="324BE05B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3EACBF7" w14:textId="77777777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11.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>, skirtas naudoti pagal bet kurį iš ankstesnių punktų, kur pacientas yra pacientas, turintis vieną arba daugiau širdies ir kraujagyslių rizikos veiksnių, pasirinktų iš A), B), C) ir D):</w:t>
      </w:r>
    </w:p>
    <w:p w14:paraId="019F9275" w14:textId="77777777" w:rsidR="009D67CC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A) ankstesnę arba esamą kraujagyslių ligą, pasirinktą iš miokardo infarkto, vainikinių arterijų ligos, </w:t>
      </w:r>
      <w:proofErr w:type="spellStart"/>
      <w:r w:rsidRPr="00962868">
        <w:rPr>
          <w:rFonts w:ascii="Helvetica" w:hAnsi="Helvetica"/>
          <w:sz w:val="20"/>
          <w:lang w:val="lt-LT"/>
        </w:rPr>
        <w:t>perkutaninės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vainikinių arterijų intervencijos, vainikinių arterijų šuntavimo operacijos, išeminio arba hemoraginio insulto, </w:t>
      </w:r>
      <w:proofErr w:type="spellStart"/>
      <w:r w:rsidRPr="00962868">
        <w:rPr>
          <w:rFonts w:ascii="Helvetica" w:hAnsi="Helvetica"/>
          <w:sz w:val="20"/>
          <w:lang w:val="lt-LT"/>
        </w:rPr>
        <w:t>stazinio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širdies nepakankamumo ir periferinių arterijų </w:t>
      </w:r>
      <w:proofErr w:type="spellStart"/>
      <w:r w:rsidRPr="00962868">
        <w:rPr>
          <w:rFonts w:ascii="Helvetica" w:hAnsi="Helvetica"/>
          <w:sz w:val="20"/>
          <w:lang w:val="lt-LT"/>
        </w:rPr>
        <w:t>okliuzinės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ligos,</w:t>
      </w:r>
    </w:p>
    <w:p w14:paraId="61C2502B" w14:textId="77777777" w:rsidR="009D67CC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>B) senyvo amžiaus ≥ 60–70 metų, ir</w:t>
      </w:r>
    </w:p>
    <w:p w14:paraId="156FC6BD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C) vieno arba daugiau širdies ir kraujagyslių rizikos veiksnių, pasirinktų iš </w:t>
      </w:r>
    </w:p>
    <w:p w14:paraId="5461BCD2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pažengusio 1 arba 2 tipo cukrinio diabeto, trunkančio ilgiau nei 10 metų, </w:t>
      </w:r>
    </w:p>
    <w:p w14:paraId="44393E59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lastRenderedPageBreak/>
        <w:t xml:space="preserve">- hipertenzijos, </w:t>
      </w:r>
    </w:p>
    <w:p w14:paraId="6004AB6E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dabartinio kasdienio rūkymo, </w:t>
      </w:r>
    </w:p>
    <w:p w14:paraId="0F8762FF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</w:t>
      </w:r>
      <w:proofErr w:type="spellStart"/>
      <w:r w:rsidRPr="00962868">
        <w:rPr>
          <w:rFonts w:ascii="Helvetica" w:hAnsi="Helvetica"/>
          <w:sz w:val="20"/>
          <w:lang w:val="lt-LT"/>
        </w:rPr>
        <w:t>dislipidemijos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</w:t>
      </w:r>
    </w:p>
    <w:p w14:paraId="2CF8E570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nutukimo, </w:t>
      </w:r>
    </w:p>
    <w:p w14:paraId="642EA499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amžiaus &gt;/= 40 metų, </w:t>
      </w:r>
    </w:p>
    <w:p w14:paraId="1C9A899A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</w:t>
      </w:r>
      <w:proofErr w:type="spellStart"/>
      <w:r w:rsidRPr="00962868">
        <w:rPr>
          <w:rFonts w:ascii="Helvetica" w:hAnsi="Helvetica"/>
          <w:sz w:val="20"/>
          <w:lang w:val="lt-LT"/>
        </w:rPr>
        <w:t>metabolinio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sindromo, </w:t>
      </w:r>
      <w:proofErr w:type="spellStart"/>
      <w:r w:rsidRPr="00962868">
        <w:rPr>
          <w:rFonts w:ascii="Helvetica" w:hAnsi="Helvetica"/>
          <w:sz w:val="20"/>
          <w:lang w:val="lt-LT"/>
        </w:rPr>
        <w:t>hiperinsulinemijos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arba atsparumo insulinui ir </w:t>
      </w:r>
    </w:p>
    <w:p w14:paraId="768A6E44" w14:textId="11EDA1FC" w:rsidR="009D67CC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</w:t>
      </w:r>
      <w:proofErr w:type="spellStart"/>
      <w:r w:rsidRPr="00962868">
        <w:rPr>
          <w:rFonts w:ascii="Helvetica" w:hAnsi="Helvetica"/>
          <w:sz w:val="20"/>
          <w:lang w:val="lt-LT"/>
        </w:rPr>
        <w:t>hiperurikemijos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erekcijos disfunkcijos, </w:t>
      </w:r>
      <w:proofErr w:type="spellStart"/>
      <w:r w:rsidRPr="00962868">
        <w:rPr>
          <w:rFonts w:ascii="Helvetica" w:hAnsi="Helvetica"/>
          <w:sz w:val="20"/>
          <w:lang w:val="lt-LT"/>
        </w:rPr>
        <w:t>policistinių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kiaušidžių sindromo, miego </w:t>
      </w:r>
      <w:proofErr w:type="spellStart"/>
      <w:r w:rsidRPr="00962868">
        <w:rPr>
          <w:rFonts w:ascii="Helvetica" w:hAnsi="Helvetica"/>
          <w:sz w:val="20"/>
          <w:lang w:val="lt-LT"/>
        </w:rPr>
        <w:t>apnėjos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arba </w:t>
      </w:r>
      <w:r w:rsidR="00041F78" w:rsidRPr="00962868">
        <w:rPr>
          <w:rFonts w:ascii="Helvetica" w:hAnsi="Helvetica"/>
          <w:sz w:val="20"/>
          <w:lang w:val="lt-LT"/>
        </w:rPr>
        <w:t xml:space="preserve">su šeimos anamneze dėl </w:t>
      </w:r>
      <w:r w:rsidRPr="00962868">
        <w:rPr>
          <w:rFonts w:ascii="Helvetica" w:hAnsi="Helvetica"/>
          <w:sz w:val="20"/>
          <w:lang w:val="lt-LT"/>
        </w:rPr>
        <w:t xml:space="preserve">pirmojo laipsnio kraujagyslių ligos ar kardiomiopatijos </w:t>
      </w:r>
      <w:r w:rsidR="00041F78" w:rsidRPr="00962868">
        <w:rPr>
          <w:rFonts w:ascii="Helvetica" w:hAnsi="Helvetica"/>
          <w:sz w:val="20"/>
          <w:lang w:val="lt-LT"/>
        </w:rPr>
        <w:t>tarp pirmos eilės giminaičių</w:t>
      </w:r>
      <w:r w:rsidRPr="00962868">
        <w:rPr>
          <w:rFonts w:ascii="Helvetica" w:hAnsi="Helvetica"/>
          <w:sz w:val="20"/>
          <w:lang w:val="lt-LT"/>
        </w:rPr>
        <w:t>;</w:t>
      </w:r>
    </w:p>
    <w:p w14:paraId="0B09B05C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D) vieno arba daugiau iš šių: </w:t>
      </w:r>
    </w:p>
    <w:p w14:paraId="407617FD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patvirtinto miokardo infarkto, </w:t>
      </w:r>
    </w:p>
    <w:p w14:paraId="2D84277A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</w:t>
      </w:r>
      <w:proofErr w:type="spellStart"/>
      <w:r w:rsidRPr="00962868">
        <w:rPr>
          <w:rFonts w:ascii="Helvetica" w:hAnsi="Helvetica"/>
          <w:sz w:val="20"/>
          <w:lang w:val="lt-LT"/>
        </w:rPr>
        <w:t>nestabilosios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krūtinės anginos su dokumentuota </w:t>
      </w:r>
      <w:proofErr w:type="spellStart"/>
      <w:r w:rsidRPr="00962868">
        <w:rPr>
          <w:rFonts w:ascii="Helvetica" w:hAnsi="Helvetica"/>
          <w:sz w:val="20"/>
          <w:lang w:val="lt-LT"/>
        </w:rPr>
        <w:t>daugiakraujagysline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vainikinių arterijų liga arba teigiamu fizinio krūvio mėginiu, </w:t>
      </w:r>
    </w:p>
    <w:p w14:paraId="5D667AC6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</w:t>
      </w:r>
      <w:proofErr w:type="spellStart"/>
      <w:r w:rsidRPr="00962868">
        <w:rPr>
          <w:rFonts w:ascii="Helvetica" w:hAnsi="Helvetica"/>
          <w:sz w:val="20"/>
          <w:lang w:val="lt-LT"/>
        </w:rPr>
        <w:t>daugiakraujagyslinės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962868">
        <w:rPr>
          <w:rFonts w:ascii="Helvetica" w:hAnsi="Helvetica"/>
          <w:sz w:val="20"/>
          <w:lang w:val="lt-LT"/>
        </w:rPr>
        <w:t>perkutaninės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vainikinių arterijų intervencijos, </w:t>
      </w:r>
    </w:p>
    <w:p w14:paraId="2E741E34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</w:t>
      </w:r>
      <w:proofErr w:type="spellStart"/>
      <w:r w:rsidRPr="00962868">
        <w:rPr>
          <w:rFonts w:ascii="Helvetica" w:hAnsi="Helvetica"/>
          <w:sz w:val="20"/>
          <w:lang w:val="lt-LT"/>
        </w:rPr>
        <w:t>daugiakraujagyslinės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vainikinių arterijų šuntavimo operacijos (CABG), </w:t>
      </w:r>
    </w:p>
    <w:p w14:paraId="57D18419" w14:textId="77777777" w:rsidR="00041F78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išeminio arba hemoraginio insulto, </w:t>
      </w:r>
    </w:p>
    <w:p w14:paraId="37B51A8B" w14:textId="13AFBC25" w:rsidR="009D67CC" w:rsidRPr="00962868" w:rsidRDefault="002665BC" w:rsidP="00962868">
      <w:pPr>
        <w:spacing w:after="0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- periferinių arterijų </w:t>
      </w:r>
      <w:proofErr w:type="spellStart"/>
      <w:r w:rsidRPr="00962868">
        <w:rPr>
          <w:rFonts w:ascii="Helvetica" w:hAnsi="Helvetica"/>
          <w:sz w:val="20"/>
          <w:lang w:val="lt-LT"/>
        </w:rPr>
        <w:t>okliuzinės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ligos.</w:t>
      </w:r>
    </w:p>
    <w:p w14:paraId="39C81971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C84E0D0" w14:textId="646BEEA0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12.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skirtas naudoti pagal bet kurį iš ankstesnių punktų, kur viena arba daugiau kitų terapinių medžiagų yra pasirinktos iš kitų </w:t>
      </w:r>
      <w:proofErr w:type="spellStart"/>
      <w:r w:rsidR="00041F78" w:rsidRPr="00962868">
        <w:rPr>
          <w:rFonts w:ascii="Helvetica" w:hAnsi="Helvetica"/>
          <w:sz w:val="20"/>
          <w:lang w:val="lt-LT"/>
        </w:rPr>
        <w:t>priešdiabetinių</w:t>
      </w:r>
      <w:proofErr w:type="spellEnd"/>
      <w:r w:rsidR="00041F78" w:rsidRPr="00962868">
        <w:rPr>
          <w:rFonts w:ascii="Helvetica" w:hAnsi="Helvetica"/>
          <w:sz w:val="20"/>
          <w:lang w:val="lt-LT"/>
        </w:rPr>
        <w:t xml:space="preserve"> </w:t>
      </w:r>
      <w:r w:rsidRPr="00962868">
        <w:rPr>
          <w:rFonts w:ascii="Helvetica" w:hAnsi="Helvetica"/>
          <w:sz w:val="20"/>
          <w:lang w:val="lt-LT"/>
        </w:rPr>
        <w:t>medžiagų.</w:t>
      </w:r>
    </w:p>
    <w:p w14:paraId="20B16075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FCE3AA0" w14:textId="77777777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13.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skirtas naudoti pagal bet kurį iš ankstesnių punktų, apimantis </w:t>
      </w:r>
      <w:proofErr w:type="spellStart"/>
      <w:r w:rsidRPr="00962868">
        <w:rPr>
          <w:rFonts w:ascii="Helvetica" w:hAnsi="Helvetica"/>
          <w:sz w:val="20"/>
          <w:lang w:val="lt-LT"/>
        </w:rPr>
        <w:t>empagliflozino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įvedimą derinyje su </w:t>
      </w:r>
      <w:proofErr w:type="spellStart"/>
      <w:r w:rsidRPr="00962868">
        <w:rPr>
          <w:rFonts w:ascii="Helvetica" w:hAnsi="Helvetica"/>
          <w:sz w:val="20"/>
          <w:lang w:val="lt-LT"/>
        </w:rPr>
        <w:t>metforminu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su </w:t>
      </w:r>
      <w:proofErr w:type="spellStart"/>
      <w:r w:rsidRPr="00962868">
        <w:rPr>
          <w:rFonts w:ascii="Helvetica" w:hAnsi="Helvetica"/>
          <w:sz w:val="20"/>
          <w:lang w:val="lt-LT"/>
        </w:rPr>
        <w:t>linagliptinu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arba su </w:t>
      </w:r>
      <w:proofErr w:type="spellStart"/>
      <w:r w:rsidRPr="00962868">
        <w:rPr>
          <w:rFonts w:ascii="Helvetica" w:hAnsi="Helvetica"/>
          <w:sz w:val="20"/>
          <w:lang w:val="lt-LT"/>
        </w:rPr>
        <w:t>metforminu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ir </w:t>
      </w:r>
      <w:proofErr w:type="spellStart"/>
      <w:r w:rsidRPr="00962868">
        <w:rPr>
          <w:rFonts w:ascii="Helvetica" w:hAnsi="Helvetica"/>
          <w:sz w:val="20"/>
          <w:lang w:val="lt-LT"/>
        </w:rPr>
        <w:t>linagliptinu</w:t>
      </w:r>
      <w:proofErr w:type="spellEnd"/>
      <w:r w:rsidRPr="00962868">
        <w:rPr>
          <w:rFonts w:ascii="Helvetica" w:hAnsi="Helvetica"/>
          <w:sz w:val="20"/>
          <w:lang w:val="lt-LT"/>
        </w:rPr>
        <w:t>.</w:t>
      </w:r>
    </w:p>
    <w:p w14:paraId="35ABE8F6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F15013B" w14:textId="77777777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14.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>, skirtas naudoti pagal bet kurį iš ankstesnių punktų, kur viena arba daugiau kitų terapinių medžiagų yra RAAS inhibitorius.</w:t>
      </w:r>
    </w:p>
    <w:p w14:paraId="03DD0270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0B33989" w14:textId="1BAE652A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15.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skirtas naudoti pagal bet kurį iš ankstesnių punktų, kur viena arba daugiau kitų terapinių medžiagų yra tiesioginis </w:t>
      </w:r>
      <w:proofErr w:type="spellStart"/>
      <w:r w:rsidRPr="00962868">
        <w:rPr>
          <w:rFonts w:ascii="Helvetica" w:hAnsi="Helvetica"/>
          <w:sz w:val="20"/>
          <w:lang w:val="lt-LT"/>
        </w:rPr>
        <w:t>renino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inhibitorius, </w:t>
      </w:r>
      <w:proofErr w:type="spellStart"/>
      <w:r w:rsidR="00041F78" w:rsidRPr="00962868">
        <w:rPr>
          <w:rFonts w:ascii="Helvetica" w:hAnsi="Helvetica"/>
          <w:sz w:val="20"/>
          <w:lang w:val="lt-LT"/>
        </w:rPr>
        <w:t>angiotenziną</w:t>
      </w:r>
      <w:proofErr w:type="spellEnd"/>
      <w:r w:rsidR="00041F78" w:rsidRPr="00962868">
        <w:rPr>
          <w:rFonts w:ascii="Helvetica" w:hAnsi="Helvetica"/>
          <w:sz w:val="20"/>
          <w:lang w:val="lt-LT"/>
        </w:rPr>
        <w:t xml:space="preserve"> </w:t>
      </w:r>
      <w:r w:rsidRPr="00962868">
        <w:rPr>
          <w:rFonts w:ascii="Helvetica" w:hAnsi="Helvetica"/>
          <w:sz w:val="20"/>
          <w:lang w:val="lt-LT"/>
        </w:rPr>
        <w:t xml:space="preserve">konvertuojančio fermento (AKF) inhibitorius ir (arba) </w:t>
      </w:r>
      <w:proofErr w:type="spellStart"/>
      <w:r w:rsidRPr="00962868">
        <w:rPr>
          <w:rFonts w:ascii="Helvetica" w:hAnsi="Helvetica"/>
          <w:sz w:val="20"/>
          <w:lang w:val="lt-LT"/>
        </w:rPr>
        <w:t>angiotenzino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II receptorių blokatorius (ARB).</w:t>
      </w:r>
    </w:p>
    <w:p w14:paraId="06B3151D" w14:textId="77777777" w:rsidR="009D67CC" w:rsidRPr="00962868" w:rsidRDefault="009D67CC" w:rsidP="00962868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F3DB2EF" w14:textId="0C6BCB76" w:rsidR="009D67CC" w:rsidRPr="00962868" w:rsidRDefault="002665BC" w:rsidP="00962868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962868">
        <w:rPr>
          <w:rFonts w:ascii="Helvetica" w:hAnsi="Helvetica"/>
          <w:sz w:val="20"/>
          <w:lang w:val="lt-LT"/>
        </w:rPr>
        <w:t xml:space="preserve">16.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, skirtas naudoti pagal bet kurį iš ankstesnių punktų, kur </w:t>
      </w:r>
      <w:proofErr w:type="spellStart"/>
      <w:r w:rsidRPr="00962868">
        <w:rPr>
          <w:rFonts w:ascii="Helvetica" w:hAnsi="Helvetica"/>
          <w:sz w:val="20"/>
          <w:lang w:val="lt-LT"/>
        </w:rPr>
        <w:t>empagliflozinas</w:t>
      </w:r>
      <w:proofErr w:type="spellEnd"/>
      <w:r w:rsidRPr="00962868">
        <w:rPr>
          <w:rFonts w:ascii="Helvetica" w:hAnsi="Helvetica"/>
          <w:sz w:val="20"/>
          <w:lang w:val="lt-LT"/>
        </w:rPr>
        <w:t xml:space="preserve"> yra </w:t>
      </w:r>
      <w:r w:rsidR="00041F78" w:rsidRPr="00962868">
        <w:rPr>
          <w:rFonts w:ascii="Helvetica" w:hAnsi="Helvetica"/>
          <w:sz w:val="20"/>
          <w:lang w:val="lt-LT"/>
        </w:rPr>
        <w:t xml:space="preserve">vartojamas </w:t>
      </w:r>
      <w:r w:rsidRPr="00962868">
        <w:rPr>
          <w:rFonts w:ascii="Helvetica" w:hAnsi="Helvetica"/>
          <w:sz w:val="20"/>
          <w:lang w:val="lt-LT"/>
        </w:rPr>
        <w:t>per burną bendra 10 mg arba 25 mg paros doze.</w:t>
      </w:r>
    </w:p>
    <w:sectPr w:rsidR="009D67CC" w:rsidRPr="00962868" w:rsidSect="0096286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B4A0" w14:textId="77777777" w:rsidR="002665BC" w:rsidRDefault="002665BC">
      <w:pPr>
        <w:spacing w:after="0" w:line="240" w:lineRule="auto"/>
      </w:pPr>
      <w:r>
        <w:separator/>
      </w:r>
    </w:p>
  </w:endnote>
  <w:endnote w:type="continuationSeparator" w:id="0">
    <w:p w14:paraId="2D382EFC" w14:textId="77777777" w:rsidR="002665BC" w:rsidRDefault="0026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B955" w14:textId="77777777" w:rsidR="002665BC" w:rsidRDefault="002665BC">
      <w:pPr>
        <w:spacing w:after="0" w:line="240" w:lineRule="auto"/>
      </w:pPr>
      <w:r>
        <w:separator/>
      </w:r>
    </w:p>
  </w:footnote>
  <w:footnote w:type="continuationSeparator" w:id="0">
    <w:p w14:paraId="7980B7A1" w14:textId="77777777" w:rsidR="002665BC" w:rsidRDefault="0026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156974">
    <w:abstractNumId w:val="8"/>
  </w:num>
  <w:num w:numId="2" w16cid:durableId="538786112">
    <w:abstractNumId w:val="6"/>
  </w:num>
  <w:num w:numId="3" w16cid:durableId="363289130">
    <w:abstractNumId w:val="5"/>
  </w:num>
  <w:num w:numId="4" w16cid:durableId="266621645">
    <w:abstractNumId w:val="4"/>
  </w:num>
  <w:num w:numId="5" w16cid:durableId="438528124">
    <w:abstractNumId w:val="7"/>
  </w:num>
  <w:num w:numId="6" w16cid:durableId="987321871">
    <w:abstractNumId w:val="3"/>
  </w:num>
  <w:num w:numId="7" w16cid:durableId="1485121593">
    <w:abstractNumId w:val="2"/>
  </w:num>
  <w:num w:numId="8" w16cid:durableId="915281635">
    <w:abstractNumId w:val="1"/>
  </w:num>
  <w:num w:numId="9" w16cid:durableId="26877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954"/>
    <w:rsid w:val="00034616"/>
    <w:rsid w:val="00041F78"/>
    <w:rsid w:val="0006063C"/>
    <w:rsid w:val="0015074B"/>
    <w:rsid w:val="001A0205"/>
    <w:rsid w:val="002665BC"/>
    <w:rsid w:val="0029639D"/>
    <w:rsid w:val="00313349"/>
    <w:rsid w:val="00326F90"/>
    <w:rsid w:val="00330ABB"/>
    <w:rsid w:val="00491624"/>
    <w:rsid w:val="00696E12"/>
    <w:rsid w:val="0077558A"/>
    <w:rsid w:val="00870552"/>
    <w:rsid w:val="00962868"/>
    <w:rsid w:val="009D67CC"/>
    <w:rsid w:val="00AA1D8D"/>
    <w:rsid w:val="00B27176"/>
    <w:rsid w:val="00B47730"/>
    <w:rsid w:val="00B5388F"/>
    <w:rsid w:val="00BF4B6B"/>
    <w:rsid w:val="00C26898"/>
    <w:rsid w:val="00C9539C"/>
    <w:rsid w:val="00CB0664"/>
    <w:rsid w:val="00E845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0AD86"/>
  <w14:defaultImageDpi w14:val="300"/>
  <w15:docId w15:val="{F45FFD67-7186-44EA-AA1E-87D3B0C8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C9539C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4039</Characters>
  <Application>Microsoft Office Word</Application>
  <DocSecurity>0</DocSecurity>
  <Lines>84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Eidukevičienė</cp:lastModifiedBy>
  <cp:revision>4</cp:revision>
  <dcterms:created xsi:type="dcterms:W3CDTF">2026-01-19T07:13:00Z</dcterms:created>
  <dcterms:modified xsi:type="dcterms:W3CDTF">2026-02-19T08:10:00Z</dcterms:modified>
  <cp:category/>
</cp:coreProperties>
</file>