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FF478" w14:textId="77777777" w:rsidR="00AE1C23" w:rsidRPr="00AE1C23" w:rsidRDefault="00AE1C23" w:rsidP="00AE1C23">
      <w:pPr>
        <w:shd w:val="clear" w:color="auto" w:fill="FFFFFF"/>
        <w:spacing w:after="0" w:line="360" w:lineRule="auto"/>
        <w:ind w:firstLine="567"/>
        <w:jc w:val="both"/>
        <w:rPr>
          <w:rFonts w:ascii="Helvetica" w:eastAsia="Times New Roman" w:hAnsi="Helvetica" w:cs="Helvetica"/>
          <w:sz w:val="20"/>
          <w:lang w:eastAsia="lt-LT"/>
        </w:rPr>
      </w:pPr>
      <w:r w:rsidRPr="00AE1C23">
        <w:rPr>
          <w:rFonts w:ascii="Helvetica" w:eastAsia="Times New Roman" w:hAnsi="Helvetica" w:cs="Helvetica"/>
          <w:sz w:val="20"/>
          <w:lang w:eastAsia="lt-LT"/>
        </w:rPr>
        <w:t>1. Daugiaspecifinis antikūnas arba jo fragmentas, kuris specifiškai rišasi su:</w:t>
      </w:r>
    </w:p>
    <w:p w14:paraId="74E28EC9" w14:textId="77777777" w:rsidR="00AE1C23" w:rsidRPr="00AE1C23" w:rsidRDefault="00AE1C23" w:rsidP="00AE1C23">
      <w:pPr>
        <w:shd w:val="clear" w:color="auto" w:fill="FFFFFF"/>
        <w:spacing w:after="0" w:line="360" w:lineRule="auto"/>
        <w:jc w:val="both"/>
        <w:rPr>
          <w:rFonts w:ascii="Helvetica" w:eastAsia="Times New Roman" w:hAnsi="Helvetica" w:cs="Helvetica"/>
          <w:sz w:val="20"/>
          <w:lang w:eastAsia="lt-LT"/>
        </w:rPr>
      </w:pPr>
      <w:r w:rsidRPr="00AE1C23">
        <w:rPr>
          <w:rFonts w:ascii="Helvetica" w:eastAsia="Times New Roman" w:hAnsi="Helvetica" w:cs="Helvetica"/>
          <w:sz w:val="20"/>
          <w:lang w:eastAsia="lt-LT"/>
        </w:rPr>
        <w:t>a. pirmuoju taikinio epitopu, kur pirmasis taikinio epitopas yra γδ T ląstelės T ląstelių receptoriaus (TCR) kintamosios delta 1 (Vδ1) grandinės epitopas, kur pirmasis taikinio epitopas yra γδ T ląstelę aktyvinantis epitopas; ir</w:t>
      </w:r>
    </w:p>
    <w:p w14:paraId="328CA424" w14:textId="77777777" w:rsidR="00AE1C23" w:rsidRPr="00AE1C23" w:rsidRDefault="00AE1C23" w:rsidP="00AE1C23">
      <w:pPr>
        <w:shd w:val="clear" w:color="auto" w:fill="FFFFFF"/>
        <w:spacing w:after="0" w:line="360" w:lineRule="auto"/>
        <w:jc w:val="both"/>
        <w:rPr>
          <w:rFonts w:ascii="Helvetica" w:eastAsia="Times New Roman" w:hAnsi="Helvetica" w:cs="Helvetica"/>
          <w:sz w:val="20"/>
          <w:lang w:eastAsia="lt-LT"/>
        </w:rPr>
      </w:pPr>
      <w:r w:rsidRPr="00AE1C23">
        <w:rPr>
          <w:rFonts w:ascii="Helvetica" w:eastAsia="Times New Roman" w:hAnsi="Helvetica" w:cs="Helvetica"/>
          <w:sz w:val="20"/>
          <w:lang w:eastAsia="lt-LT"/>
        </w:rPr>
        <w:t>b. antruoju taikinio epitopu, kur antrasis epitopas yra parinktas iš grupės, kurią sudaro CD19, Her2 (CD340), EGFR, FAPα, mezotelino, PD-1, 4-1BB, OX40 ir TIGIT epitopai.</w:t>
      </w:r>
    </w:p>
    <w:p w14:paraId="5881BAF0" w14:textId="77777777" w:rsidR="00AE1C23" w:rsidRPr="00AE1C23" w:rsidRDefault="00AE1C23" w:rsidP="00AE1C23">
      <w:pPr>
        <w:shd w:val="clear" w:color="auto" w:fill="FFFFFF"/>
        <w:spacing w:after="0" w:line="360" w:lineRule="auto"/>
        <w:jc w:val="both"/>
        <w:rPr>
          <w:rFonts w:ascii="Helvetica" w:eastAsia="Times New Roman" w:hAnsi="Helvetica" w:cs="Helvetica"/>
          <w:sz w:val="20"/>
          <w:lang w:eastAsia="lt-LT"/>
        </w:rPr>
      </w:pPr>
    </w:p>
    <w:p w14:paraId="03ED7C6E" w14:textId="77777777" w:rsidR="00AE1C23" w:rsidRPr="00AE1C23" w:rsidRDefault="00AE1C23" w:rsidP="00AE1C23">
      <w:pPr>
        <w:shd w:val="clear" w:color="auto" w:fill="FFFFFF"/>
        <w:spacing w:after="0" w:line="360" w:lineRule="auto"/>
        <w:ind w:firstLine="567"/>
        <w:jc w:val="both"/>
        <w:rPr>
          <w:rFonts w:ascii="Helvetica" w:eastAsia="Times New Roman" w:hAnsi="Helvetica" w:cs="Helvetica"/>
          <w:sz w:val="20"/>
          <w:lang w:eastAsia="lt-LT"/>
        </w:rPr>
      </w:pPr>
      <w:r w:rsidRPr="00AE1C23">
        <w:rPr>
          <w:rFonts w:ascii="Helvetica" w:eastAsia="Times New Roman" w:hAnsi="Helvetica" w:cs="Helvetica"/>
          <w:sz w:val="20"/>
          <w:lang w:eastAsia="lt-LT"/>
        </w:rPr>
        <w:t>2. Daugiaspecifinis antikūnas arba jo fragmentas pagal bet kurį iš ankstesnių punktų, kur pirmasis taikinio epitopas yra epitopas, apimantis vieną ar daugiau aminorūgščių liekanų aminorūgščių srityse:</w:t>
      </w:r>
    </w:p>
    <w:p w14:paraId="48CB4960" w14:textId="77777777" w:rsidR="00AE1C23" w:rsidRPr="00AE1C23" w:rsidRDefault="00AE1C23" w:rsidP="00AE1C23">
      <w:pPr>
        <w:shd w:val="clear" w:color="auto" w:fill="FFFFFF"/>
        <w:spacing w:after="0" w:line="360" w:lineRule="auto"/>
        <w:jc w:val="both"/>
        <w:rPr>
          <w:rFonts w:ascii="Helvetica" w:eastAsia="Times New Roman" w:hAnsi="Helvetica" w:cs="Helvetica"/>
          <w:sz w:val="20"/>
          <w:lang w:eastAsia="lt-LT"/>
        </w:rPr>
      </w:pPr>
      <w:r w:rsidRPr="00AE1C23">
        <w:rPr>
          <w:rFonts w:ascii="Helvetica" w:eastAsia="Times New Roman" w:hAnsi="Helvetica" w:cs="Helvetica"/>
          <w:sz w:val="20"/>
          <w:lang w:eastAsia="lt-LT"/>
        </w:rPr>
        <w:t>(i) SEQ ID Nr. 1 3–20; ir / arba</w:t>
      </w:r>
    </w:p>
    <w:p w14:paraId="39CAB14E" w14:textId="77777777" w:rsidR="00AE1C23" w:rsidRPr="00AE1C23" w:rsidRDefault="00AE1C23" w:rsidP="00AE1C23">
      <w:pPr>
        <w:shd w:val="clear" w:color="auto" w:fill="FFFFFF"/>
        <w:spacing w:after="0" w:line="360" w:lineRule="auto"/>
        <w:jc w:val="both"/>
        <w:rPr>
          <w:rFonts w:ascii="Helvetica" w:eastAsia="Times New Roman" w:hAnsi="Helvetica" w:cs="Helvetica"/>
          <w:sz w:val="20"/>
          <w:lang w:eastAsia="lt-LT"/>
        </w:rPr>
      </w:pPr>
      <w:r w:rsidRPr="00AE1C23">
        <w:rPr>
          <w:rFonts w:ascii="Helvetica" w:eastAsia="Times New Roman" w:hAnsi="Helvetica" w:cs="Helvetica"/>
          <w:sz w:val="20"/>
          <w:lang w:eastAsia="lt-LT"/>
        </w:rPr>
        <w:t>(ii) SEQ ID Nr. 1 37–77.</w:t>
      </w:r>
    </w:p>
    <w:p w14:paraId="4FF7141F" w14:textId="77777777" w:rsidR="00AE1C23" w:rsidRPr="00AE1C23" w:rsidRDefault="00AE1C23" w:rsidP="00AE1C23">
      <w:pPr>
        <w:shd w:val="clear" w:color="auto" w:fill="FFFFFF"/>
        <w:spacing w:after="0" w:line="360" w:lineRule="auto"/>
        <w:jc w:val="both"/>
        <w:rPr>
          <w:rFonts w:ascii="Helvetica" w:eastAsia="Times New Roman" w:hAnsi="Helvetica" w:cs="Helvetica"/>
          <w:sz w:val="20"/>
          <w:lang w:eastAsia="lt-LT"/>
        </w:rPr>
      </w:pPr>
    </w:p>
    <w:p w14:paraId="3000D77A" w14:textId="02FA1B54" w:rsidR="00AE1C23" w:rsidRPr="00AE1C23" w:rsidRDefault="00AE1C23" w:rsidP="00AE1C23">
      <w:pPr>
        <w:shd w:val="clear" w:color="auto" w:fill="FFFFFF"/>
        <w:spacing w:after="0" w:line="360" w:lineRule="auto"/>
        <w:ind w:firstLine="567"/>
        <w:jc w:val="both"/>
        <w:rPr>
          <w:rFonts w:ascii="Helvetica" w:eastAsia="Times New Roman" w:hAnsi="Helvetica" w:cs="Helvetica"/>
          <w:sz w:val="20"/>
          <w:lang w:eastAsia="lt-LT"/>
        </w:rPr>
      </w:pPr>
      <w:r w:rsidRPr="00AE1C23">
        <w:rPr>
          <w:rFonts w:ascii="Helvetica" w:eastAsia="Times New Roman" w:hAnsi="Helvetica" w:cs="Helvetica"/>
          <w:sz w:val="20"/>
          <w:lang w:eastAsia="lt-LT"/>
        </w:rPr>
        <w:t>3. Daugiaspecifinis antikūnas arba antigeną surišantis jo fragmentas pagal bet kurį iš ankstesnių punktų, kur aktyvinančio epitopo rišimasis:</w:t>
      </w:r>
    </w:p>
    <w:p w14:paraId="2B572A81" w14:textId="77777777" w:rsidR="00AE1C23" w:rsidRPr="00AE1C23" w:rsidRDefault="00AE1C23" w:rsidP="00AE1C23">
      <w:pPr>
        <w:shd w:val="clear" w:color="auto" w:fill="FFFFFF"/>
        <w:spacing w:after="0" w:line="360" w:lineRule="auto"/>
        <w:jc w:val="both"/>
        <w:rPr>
          <w:rFonts w:ascii="Helvetica" w:eastAsia="Times New Roman" w:hAnsi="Helvetica" w:cs="Helvetica"/>
          <w:sz w:val="20"/>
          <w:lang w:eastAsia="lt-LT"/>
        </w:rPr>
      </w:pPr>
      <w:r w:rsidRPr="00AE1C23">
        <w:rPr>
          <w:rFonts w:ascii="Helvetica" w:eastAsia="Times New Roman" w:hAnsi="Helvetica" w:cs="Helvetica"/>
          <w:sz w:val="20"/>
          <w:lang w:eastAsia="lt-LT"/>
        </w:rPr>
        <w:t>(i) sumažina γδ TCR raišką;</w:t>
      </w:r>
    </w:p>
    <w:p w14:paraId="4A065FC5" w14:textId="77777777" w:rsidR="00AE1C23" w:rsidRPr="00AE1C23" w:rsidRDefault="00AE1C23" w:rsidP="00AE1C23">
      <w:pPr>
        <w:shd w:val="clear" w:color="auto" w:fill="FFFFFF"/>
        <w:spacing w:after="0" w:line="360" w:lineRule="auto"/>
        <w:jc w:val="both"/>
        <w:rPr>
          <w:rFonts w:ascii="Helvetica" w:eastAsia="Times New Roman" w:hAnsi="Helvetica" w:cs="Helvetica"/>
          <w:sz w:val="20"/>
          <w:lang w:eastAsia="lt-LT"/>
        </w:rPr>
      </w:pPr>
      <w:r w:rsidRPr="00AE1C23">
        <w:rPr>
          <w:rFonts w:ascii="Helvetica" w:eastAsia="Times New Roman" w:hAnsi="Helvetica" w:cs="Helvetica"/>
          <w:sz w:val="20"/>
          <w:lang w:eastAsia="lt-LT"/>
        </w:rPr>
        <w:t>(ii) aktyvina γδ T ląstelės degranuliaciją; ir / arba</w:t>
      </w:r>
    </w:p>
    <w:p w14:paraId="7194D84A" w14:textId="77777777" w:rsidR="00AE1C23" w:rsidRPr="00AE1C23" w:rsidRDefault="00AE1C23" w:rsidP="00AE1C23">
      <w:pPr>
        <w:shd w:val="clear" w:color="auto" w:fill="FFFFFF"/>
        <w:spacing w:after="0" w:line="360" w:lineRule="auto"/>
        <w:jc w:val="both"/>
        <w:rPr>
          <w:rFonts w:ascii="Helvetica" w:eastAsia="Times New Roman" w:hAnsi="Helvetica" w:cs="Helvetica"/>
          <w:sz w:val="20"/>
          <w:lang w:eastAsia="lt-LT"/>
        </w:rPr>
      </w:pPr>
      <w:r w:rsidRPr="00AE1C23">
        <w:rPr>
          <w:rFonts w:ascii="Helvetica" w:eastAsia="Times New Roman" w:hAnsi="Helvetica" w:cs="Helvetica"/>
          <w:sz w:val="20"/>
          <w:lang w:eastAsia="lt-LT"/>
        </w:rPr>
        <w:t>(iii) skatina γδ T ląstelės tarpininkaujamą žudymą.</w:t>
      </w:r>
    </w:p>
    <w:p w14:paraId="763A72E9" w14:textId="77777777" w:rsidR="00AE1C23" w:rsidRPr="00AE1C23" w:rsidRDefault="00AE1C23" w:rsidP="00AE1C23">
      <w:pPr>
        <w:shd w:val="clear" w:color="auto" w:fill="FFFFFF"/>
        <w:spacing w:after="0" w:line="360" w:lineRule="auto"/>
        <w:jc w:val="both"/>
        <w:rPr>
          <w:rFonts w:ascii="Helvetica" w:eastAsia="Times New Roman" w:hAnsi="Helvetica" w:cs="Helvetica"/>
          <w:sz w:val="20"/>
          <w:lang w:eastAsia="lt-LT"/>
        </w:rPr>
      </w:pPr>
    </w:p>
    <w:p w14:paraId="3B57415E" w14:textId="77777777" w:rsidR="00AE1C23" w:rsidRPr="00AE1C23" w:rsidRDefault="00AE1C23" w:rsidP="00AE1C23">
      <w:pPr>
        <w:shd w:val="clear" w:color="auto" w:fill="FFFFFF"/>
        <w:spacing w:after="0" w:line="360" w:lineRule="auto"/>
        <w:ind w:firstLine="567"/>
        <w:jc w:val="both"/>
        <w:rPr>
          <w:rFonts w:ascii="Helvetica" w:eastAsia="Times New Roman" w:hAnsi="Helvetica" w:cs="Helvetica"/>
          <w:sz w:val="20"/>
          <w:lang w:eastAsia="lt-LT"/>
        </w:rPr>
      </w:pPr>
      <w:r w:rsidRPr="00AE1C23">
        <w:rPr>
          <w:rFonts w:ascii="Helvetica" w:eastAsia="Times New Roman" w:hAnsi="Helvetica" w:cs="Helvetica"/>
          <w:sz w:val="20"/>
          <w:lang w:eastAsia="lt-LT"/>
        </w:rPr>
        <w:t>4. Daugiaspecifinis antikūnas arba jo fragmentas pagal bet kurį iš ankstesnių punktų, kur pirmasis taikinio epitopas yra epitopas, kuris padidina CD107a, CD25, CD69 ir / arba Ki67 raišką.</w:t>
      </w:r>
    </w:p>
    <w:p w14:paraId="1D737C35" w14:textId="77777777" w:rsidR="00AE1C23" w:rsidRPr="00AE1C23" w:rsidRDefault="00AE1C23" w:rsidP="00AE1C23">
      <w:pPr>
        <w:shd w:val="clear" w:color="auto" w:fill="FFFFFF"/>
        <w:spacing w:after="0" w:line="360" w:lineRule="auto"/>
        <w:jc w:val="both"/>
        <w:rPr>
          <w:rFonts w:ascii="Helvetica" w:eastAsia="Times New Roman" w:hAnsi="Helvetica" w:cs="Helvetica"/>
          <w:sz w:val="20"/>
          <w:lang w:eastAsia="lt-LT"/>
        </w:rPr>
      </w:pPr>
    </w:p>
    <w:p w14:paraId="5D557732" w14:textId="14321FB8" w:rsidR="00AE1C23" w:rsidRPr="00AE1C23" w:rsidRDefault="00AE1C23" w:rsidP="00CC6A0E">
      <w:pPr>
        <w:shd w:val="clear" w:color="auto" w:fill="FFFFFF"/>
        <w:spacing w:after="0" w:line="360" w:lineRule="auto"/>
        <w:ind w:firstLine="567"/>
        <w:jc w:val="both"/>
        <w:rPr>
          <w:rFonts w:ascii="Helvetica" w:eastAsia="Times New Roman" w:hAnsi="Helvetica" w:cs="Helvetica"/>
          <w:sz w:val="20"/>
          <w:lang w:eastAsia="lt-LT"/>
        </w:rPr>
      </w:pPr>
      <w:r w:rsidRPr="00AE1C23">
        <w:rPr>
          <w:rFonts w:ascii="Helvetica" w:eastAsia="Times New Roman" w:hAnsi="Helvetica" w:cs="Helvetica"/>
          <w:sz w:val="20"/>
          <w:lang w:eastAsia="lt-LT"/>
        </w:rPr>
        <w:t>5. Daugiaspecifinis antikūnas arba jo fragmentas pagal bet kurį iš ankstesnių punktų, kur daugiaspecifinis antikūnas arba jo fragmentas rišasi su pirmuoju epitopu su susirišimo giminingumu (KD), išmatuotu paviršinio plazmonų rezonanso būdu, mažesniu nei 1</w:t>
      </w:r>
      <w:r>
        <w:rPr>
          <w:rFonts w:ascii="Helvetica" w:eastAsia="Times New Roman" w:hAnsi="Helvetica" w:cs="Helvetica"/>
          <w:sz w:val="20"/>
          <w:lang w:eastAsia="lt-LT"/>
        </w:rPr>
        <w:t>,</w:t>
      </w:r>
      <w:r w:rsidRPr="00AE1C23">
        <w:rPr>
          <w:rFonts w:ascii="Helvetica" w:eastAsia="Times New Roman" w:hAnsi="Helvetica" w:cs="Helvetica"/>
          <w:sz w:val="20"/>
          <w:lang w:eastAsia="lt-LT"/>
        </w:rPr>
        <w:t xml:space="preserve">5 x </w:t>
      </w:r>
      <w:r w:rsidRPr="00AE1C23">
        <w:rPr>
          <w:rFonts w:ascii="Helvetica" w:eastAsia="Calibri" w:hAnsi="Helvetica" w:cs="Helvetica"/>
          <w:bCs/>
          <w:color w:val="000000"/>
          <w:kern w:val="2"/>
          <w:sz w:val="20"/>
        </w:rPr>
        <w:t>10</w:t>
      </w:r>
      <w:r w:rsidRPr="00AE1C23">
        <w:rPr>
          <w:rFonts w:ascii="Helvetica" w:eastAsia="Calibri" w:hAnsi="Helvetica" w:cs="Helvetica"/>
          <w:bCs/>
          <w:color w:val="000000"/>
          <w:kern w:val="2"/>
          <w:sz w:val="20"/>
          <w:vertAlign w:val="superscript"/>
        </w:rPr>
        <w:t>-7</w:t>
      </w:r>
      <w:r w:rsidRPr="00AE1C23">
        <w:rPr>
          <w:rFonts w:ascii="Helvetica" w:eastAsia="Times New Roman" w:hAnsi="Helvetica" w:cs="Helvetica"/>
          <w:sz w:val="20"/>
          <w:lang w:eastAsia="lt-LT"/>
        </w:rPr>
        <w:t> M, mažesniu nei 1</w:t>
      </w:r>
      <w:r>
        <w:rPr>
          <w:rFonts w:ascii="Helvetica" w:eastAsia="Times New Roman" w:hAnsi="Helvetica" w:cs="Helvetica"/>
          <w:sz w:val="20"/>
          <w:lang w:eastAsia="lt-LT"/>
        </w:rPr>
        <w:t>,</w:t>
      </w:r>
      <w:r w:rsidRPr="00AE1C23">
        <w:rPr>
          <w:rFonts w:ascii="Helvetica" w:eastAsia="Times New Roman" w:hAnsi="Helvetica" w:cs="Helvetica"/>
          <w:sz w:val="20"/>
          <w:lang w:eastAsia="lt-LT"/>
        </w:rPr>
        <w:t xml:space="preserve">3 x </w:t>
      </w:r>
      <w:r w:rsidRPr="00AE1C23">
        <w:rPr>
          <w:rFonts w:ascii="Helvetica" w:eastAsia="Calibri" w:hAnsi="Helvetica" w:cs="Helvetica"/>
          <w:bCs/>
          <w:color w:val="000000"/>
          <w:kern w:val="2"/>
          <w:sz w:val="20"/>
        </w:rPr>
        <w:t>10</w:t>
      </w:r>
      <w:r w:rsidRPr="00AE1C23">
        <w:rPr>
          <w:rFonts w:ascii="Helvetica" w:eastAsia="Calibri" w:hAnsi="Helvetica" w:cs="Helvetica"/>
          <w:bCs/>
          <w:color w:val="000000"/>
          <w:kern w:val="2"/>
          <w:sz w:val="20"/>
          <w:vertAlign w:val="superscript"/>
        </w:rPr>
        <w:t>-7</w:t>
      </w:r>
      <w:r w:rsidRPr="00AE1C23">
        <w:rPr>
          <w:rFonts w:ascii="Helvetica" w:eastAsia="Times New Roman" w:hAnsi="Helvetica" w:cs="Helvetica"/>
          <w:sz w:val="20"/>
          <w:lang w:eastAsia="lt-LT"/>
        </w:rPr>
        <w:t> M, mažesniu nei 1</w:t>
      </w:r>
      <w:r>
        <w:rPr>
          <w:rFonts w:ascii="Helvetica" w:eastAsia="Times New Roman" w:hAnsi="Helvetica" w:cs="Helvetica"/>
          <w:sz w:val="20"/>
          <w:lang w:eastAsia="lt-LT"/>
        </w:rPr>
        <w:t>,</w:t>
      </w:r>
      <w:r w:rsidRPr="00AE1C23">
        <w:rPr>
          <w:rFonts w:ascii="Helvetica" w:eastAsia="Times New Roman" w:hAnsi="Helvetica" w:cs="Helvetica"/>
          <w:sz w:val="20"/>
          <w:lang w:eastAsia="lt-LT"/>
        </w:rPr>
        <w:t xml:space="preserve">0 x </w:t>
      </w:r>
      <w:r w:rsidRPr="00AE1C23">
        <w:rPr>
          <w:rFonts w:ascii="Helvetica" w:eastAsia="Calibri" w:hAnsi="Helvetica" w:cs="Helvetica"/>
          <w:bCs/>
          <w:color w:val="000000"/>
          <w:kern w:val="2"/>
          <w:sz w:val="20"/>
        </w:rPr>
        <w:t>10</w:t>
      </w:r>
      <w:r w:rsidRPr="00AE1C23">
        <w:rPr>
          <w:rFonts w:ascii="Helvetica" w:eastAsia="Calibri" w:hAnsi="Helvetica" w:cs="Helvetica"/>
          <w:bCs/>
          <w:color w:val="000000"/>
          <w:kern w:val="2"/>
          <w:sz w:val="20"/>
          <w:vertAlign w:val="superscript"/>
        </w:rPr>
        <w:t>-7</w:t>
      </w:r>
      <w:r w:rsidRPr="00AE1C23">
        <w:rPr>
          <w:rFonts w:ascii="Helvetica" w:eastAsia="Times New Roman" w:hAnsi="Helvetica" w:cs="Helvetica"/>
          <w:sz w:val="20"/>
          <w:lang w:eastAsia="lt-LT"/>
        </w:rPr>
        <w:t> M, arba mažesniu nei 5</w:t>
      </w:r>
      <w:r>
        <w:rPr>
          <w:rFonts w:ascii="Helvetica" w:eastAsia="Times New Roman" w:hAnsi="Helvetica" w:cs="Helvetica"/>
          <w:sz w:val="20"/>
          <w:lang w:eastAsia="lt-LT"/>
        </w:rPr>
        <w:t>,</w:t>
      </w:r>
      <w:r w:rsidRPr="00AE1C23">
        <w:rPr>
          <w:rFonts w:ascii="Helvetica" w:eastAsia="Times New Roman" w:hAnsi="Helvetica" w:cs="Helvetica"/>
          <w:sz w:val="20"/>
          <w:lang w:eastAsia="lt-LT"/>
        </w:rPr>
        <w:t xml:space="preserve">0 x </w:t>
      </w:r>
      <w:r w:rsidRPr="00AE1C23">
        <w:rPr>
          <w:rFonts w:ascii="Helvetica" w:eastAsia="Calibri" w:hAnsi="Helvetica" w:cs="Helvetica"/>
          <w:bCs/>
          <w:color w:val="000000"/>
          <w:kern w:val="2"/>
          <w:sz w:val="20"/>
        </w:rPr>
        <w:t>10</w:t>
      </w:r>
      <w:r w:rsidRPr="00AE1C23">
        <w:rPr>
          <w:rFonts w:ascii="Helvetica" w:eastAsia="Calibri" w:hAnsi="Helvetica" w:cs="Helvetica"/>
          <w:bCs/>
          <w:color w:val="000000"/>
          <w:kern w:val="2"/>
          <w:sz w:val="20"/>
          <w:vertAlign w:val="superscript"/>
        </w:rPr>
        <w:t>-8</w:t>
      </w:r>
      <w:r w:rsidRPr="00AE1C23">
        <w:rPr>
          <w:rFonts w:ascii="Helvetica" w:eastAsia="Times New Roman" w:hAnsi="Helvetica" w:cs="Helvetica"/>
          <w:sz w:val="20"/>
          <w:lang w:eastAsia="lt-LT"/>
        </w:rPr>
        <w:t> M. </w:t>
      </w:r>
    </w:p>
    <w:p w14:paraId="08262989" w14:textId="77777777" w:rsidR="00AE1C23" w:rsidRPr="00AE1C23" w:rsidRDefault="00AE1C23" w:rsidP="00AE1C23">
      <w:pPr>
        <w:shd w:val="clear" w:color="auto" w:fill="FFFFFF"/>
        <w:spacing w:after="0" w:line="360" w:lineRule="auto"/>
        <w:jc w:val="both"/>
        <w:rPr>
          <w:rFonts w:ascii="Helvetica" w:eastAsia="Times New Roman" w:hAnsi="Helvetica" w:cs="Helvetica"/>
          <w:sz w:val="20"/>
          <w:lang w:eastAsia="lt-LT"/>
        </w:rPr>
      </w:pPr>
    </w:p>
    <w:p w14:paraId="32CAA177" w14:textId="399791A7" w:rsidR="00AE1C23" w:rsidRPr="00AE1C23" w:rsidRDefault="00AE1C23" w:rsidP="00AE1C23">
      <w:pPr>
        <w:shd w:val="clear" w:color="auto" w:fill="FFFFFF"/>
        <w:spacing w:after="0" w:line="360" w:lineRule="auto"/>
        <w:ind w:firstLine="567"/>
        <w:jc w:val="both"/>
        <w:rPr>
          <w:rFonts w:ascii="Helvetica" w:eastAsia="Times New Roman" w:hAnsi="Helvetica" w:cs="Helvetica"/>
          <w:sz w:val="20"/>
          <w:lang w:eastAsia="lt-LT"/>
        </w:rPr>
      </w:pPr>
      <w:r w:rsidRPr="00AE1C23">
        <w:rPr>
          <w:rFonts w:ascii="Helvetica" w:eastAsia="Times New Roman" w:hAnsi="Helvetica" w:cs="Helvetica"/>
          <w:sz w:val="20"/>
          <w:lang w:eastAsia="lt-LT"/>
        </w:rPr>
        <w:t>6. Daugiaspecifinis antikūnas arba jo fragmentas pagal bet kurį iš ankstesnių punktų, kur antikūnas yra bispecifinis antikūnas.</w:t>
      </w:r>
    </w:p>
    <w:p w14:paraId="22A12614" w14:textId="77777777" w:rsidR="00AE1C23" w:rsidRPr="00AE1C23" w:rsidRDefault="00AE1C23" w:rsidP="00AE1C23">
      <w:pPr>
        <w:shd w:val="clear" w:color="auto" w:fill="FFFFFF"/>
        <w:spacing w:after="0" w:line="360" w:lineRule="auto"/>
        <w:jc w:val="both"/>
        <w:rPr>
          <w:rFonts w:ascii="Helvetica" w:eastAsia="Times New Roman" w:hAnsi="Helvetica" w:cs="Helvetica"/>
          <w:sz w:val="20"/>
          <w:lang w:eastAsia="lt-LT"/>
        </w:rPr>
      </w:pPr>
    </w:p>
    <w:p w14:paraId="1B3E8A8F" w14:textId="77777777" w:rsidR="00AE1C23" w:rsidRPr="00AE1C23" w:rsidRDefault="00AE1C23" w:rsidP="00AE1C23">
      <w:pPr>
        <w:shd w:val="clear" w:color="auto" w:fill="FFFFFF"/>
        <w:spacing w:after="0" w:line="360" w:lineRule="auto"/>
        <w:ind w:firstLine="567"/>
        <w:jc w:val="both"/>
        <w:rPr>
          <w:rFonts w:ascii="Helvetica" w:eastAsia="Times New Roman" w:hAnsi="Helvetica" w:cs="Helvetica"/>
          <w:sz w:val="20"/>
          <w:lang w:eastAsia="lt-LT"/>
        </w:rPr>
      </w:pPr>
      <w:r w:rsidRPr="00AE1C23">
        <w:rPr>
          <w:rFonts w:ascii="Helvetica" w:eastAsia="Times New Roman" w:hAnsi="Helvetica" w:cs="Helvetica"/>
          <w:sz w:val="20"/>
          <w:lang w:eastAsia="lt-LT"/>
        </w:rPr>
        <w:t>7. Daugiaspecifinis antikūnas arba jo fragmentas pagal bet kurį iš ankstesnių punktų, kur daugiaspecifinis antikūnas arba jo fragmentas yra žmogaus antikūnas arba antigeną surišantis jo fragmentas.</w:t>
      </w:r>
    </w:p>
    <w:p w14:paraId="495659C1" w14:textId="77777777" w:rsidR="00AE1C23" w:rsidRPr="00AE1C23" w:rsidRDefault="00AE1C23" w:rsidP="00AE1C23">
      <w:pPr>
        <w:shd w:val="clear" w:color="auto" w:fill="FFFFFF"/>
        <w:spacing w:after="0" w:line="360" w:lineRule="auto"/>
        <w:jc w:val="both"/>
        <w:rPr>
          <w:rFonts w:ascii="Helvetica" w:eastAsia="Times New Roman" w:hAnsi="Helvetica" w:cs="Helvetica"/>
          <w:sz w:val="20"/>
          <w:lang w:eastAsia="lt-LT"/>
        </w:rPr>
      </w:pPr>
    </w:p>
    <w:p w14:paraId="10BE17BC" w14:textId="77777777" w:rsidR="00AE1C23" w:rsidRPr="00AE1C23" w:rsidRDefault="00AE1C23" w:rsidP="00AE1C23">
      <w:pPr>
        <w:shd w:val="clear" w:color="auto" w:fill="FFFFFF"/>
        <w:spacing w:after="0" w:line="360" w:lineRule="auto"/>
        <w:ind w:firstLine="567"/>
        <w:jc w:val="both"/>
        <w:rPr>
          <w:rFonts w:ascii="Helvetica" w:eastAsia="Times New Roman" w:hAnsi="Helvetica" w:cs="Helvetica"/>
          <w:sz w:val="20"/>
          <w:lang w:eastAsia="lt-LT"/>
        </w:rPr>
      </w:pPr>
      <w:r w:rsidRPr="00AE1C23">
        <w:rPr>
          <w:rFonts w:ascii="Helvetica" w:eastAsia="Times New Roman" w:hAnsi="Helvetica" w:cs="Helvetica"/>
          <w:sz w:val="20"/>
          <w:lang w:eastAsia="lt-LT"/>
        </w:rPr>
        <w:t>8. Daugiaspecifinis antikūnas arba jo fragmentas pagal bet kurį iš ankstesnių punktų, kur daugiaspecifinis antikūnas arba antigeną surišantis jo fragmentas yra IgG daugiaspecifinis antikūnas, pasirinktinai, kur daugiaspecifinis antikūnas arba antigeną surišantis jo fragmentas yra IgG1 daugiaspecifinis antikūnas.</w:t>
      </w:r>
    </w:p>
    <w:p w14:paraId="67A139DF" w14:textId="77777777" w:rsidR="00AE1C23" w:rsidRPr="00AE1C23" w:rsidRDefault="00AE1C23" w:rsidP="00AE1C23">
      <w:pPr>
        <w:shd w:val="clear" w:color="auto" w:fill="FFFFFF"/>
        <w:spacing w:after="0" w:line="360" w:lineRule="auto"/>
        <w:jc w:val="both"/>
        <w:rPr>
          <w:rFonts w:ascii="Helvetica" w:eastAsia="Times New Roman" w:hAnsi="Helvetica" w:cs="Helvetica"/>
          <w:sz w:val="20"/>
          <w:lang w:eastAsia="lt-LT"/>
        </w:rPr>
      </w:pPr>
    </w:p>
    <w:p w14:paraId="2F361128" w14:textId="77777777" w:rsidR="00AE1C23" w:rsidRPr="00AE1C23" w:rsidRDefault="00AE1C23" w:rsidP="00AE1C23">
      <w:pPr>
        <w:shd w:val="clear" w:color="auto" w:fill="FFFFFF"/>
        <w:spacing w:after="0" w:line="360" w:lineRule="auto"/>
        <w:ind w:firstLine="567"/>
        <w:jc w:val="both"/>
        <w:rPr>
          <w:rFonts w:ascii="Helvetica" w:eastAsia="Times New Roman" w:hAnsi="Helvetica" w:cs="Helvetica"/>
          <w:sz w:val="20"/>
          <w:lang w:eastAsia="lt-LT"/>
        </w:rPr>
      </w:pPr>
      <w:r w:rsidRPr="00AE1C23">
        <w:rPr>
          <w:rFonts w:ascii="Helvetica" w:eastAsia="Times New Roman" w:hAnsi="Helvetica" w:cs="Helvetica"/>
          <w:sz w:val="20"/>
          <w:lang w:eastAsia="lt-LT"/>
        </w:rPr>
        <w:t>9. Farmacinė kompozicija, apimanti daugiaspecifinį antikūną arba jo fragmentą, kaip apibrėžta bet kuriame iš 1–8 punktų, ir farmaciškai priimtiną skiediklį arba nešiklį.</w:t>
      </w:r>
    </w:p>
    <w:p w14:paraId="483CE9A6" w14:textId="77777777" w:rsidR="00AE1C23" w:rsidRPr="00AE1C23" w:rsidRDefault="00AE1C23" w:rsidP="00AE1C23">
      <w:pPr>
        <w:shd w:val="clear" w:color="auto" w:fill="FFFFFF"/>
        <w:spacing w:after="0" w:line="360" w:lineRule="auto"/>
        <w:jc w:val="both"/>
        <w:rPr>
          <w:rFonts w:ascii="Helvetica" w:eastAsia="Times New Roman" w:hAnsi="Helvetica" w:cs="Helvetica"/>
          <w:sz w:val="20"/>
          <w:lang w:eastAsia="lt-LT"/>
        </w:rPr>
      </w:pPr>
    </w:p>
    <w:p w14:paraId="63DC4F08" w14:textId="77777777" w:rsidR="00AE1C23" w:rsidRPr="00AE1C23" w:rsidRDefault="00AE1C23" w:rsidP="00AE1C23">
      <w:pPr>
        <w:shd w:val="clear" w:color="auto" w:fill="FFFFFF"/>
        <w:spacing w:after="0" w:line="360" w:lineRule="auto"/>
        <w:ind w:firstLine="567"/>
        <w:jc w:val="both"/>
        <w:rPr>
          <w:rFonts w:ascii="Helvetica" w:eastAsia="Times New Roman" w:hAnsi="Helvetica" w:cs="Helvetica"/>
          <w:sz w:val="20"/>
          <w:lang w:eastAsia="lt-LT"/>
        </w:rPr>
      </w:pPr>
      <w:r w:rsidRPr="00AE1C23">
        <w:rPr>
          <w:rFonts w:ascii="Helvetica" w:eastAsia="Times New Roman" w:hAnsi="Helvetica" w:cs="Helvetica"/>
          <w:sz w:val="20"/>
          <w:lang w:eastAsia="lt-LT"/>
        </w:rPr>
        <w:t>10. Daugiaspecifinis antikūnas arba jo fragmentas pagal bet kurį iš 1–8 punktų arba 9 punkto farmacinė kompozicija, skirti naudoti ligos ar sutrikimo gydymo būde subjektui, kur liga ar sutrikimas yra vėžys.</w:t>
      </w:r>
    </w:p>
    <w:sectPr w:rsidR="00AE1C23" w:rsidRPr="00AE1C23" w:rsidSect="00AE1C23">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3CC3" w14:textId="77777777" w:rsidR="001E3A96" w:rsidRDefault="001E3A96" w:rsidP="00AE1C23">
      <w:pPr>
        <w:spacing w:after="0" w:line="240" w:lineRule="auto"/>
      </w:pPr>
      <w:r>
        <w:separator/>
      </w:r>
    </w:p>
  </w:endnote>
  <w:endnote w:type="continuationSeparator" w:id="0">
    <w:p w14:paraId="15D3E502" w14:textId="77777777" w:rsidR="001E3A96" w:rsidRDefault="001E3A96" w:rsidP="00AE1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504DE" w14:textId="77777777" w:rsidR="001E3A96" w:rsidRDefault="001E3A96" w:rsidP="00AE1C23">
      <w:pPr>
        <w:spacing w:after="0" w:line="240" w:lineRule="auto"/>
      </w:pPr>
      <w:r>
        <w:separator/>
      </w:r>
    </w:p>
  </w:footnote>
  <w:footnote w:type="continuationSeparator" w:id="0">
    <w:p w14:paraId="06746D97" w14:textId="77777777" w:rsidR="001E3A96" w:rsidRDefault="001E3A96" w:rsidP="00AE1C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C23"/>
    <w:rsid w:val="0000726D"/>
    <w:rsid w:val="000657CC"/>
    <w:rsid w:val="00091494"/>
    <w:rsid w:val="000B1DE7"/>
    <w:rsid w:val="00100598"/>
    <w:rsid w:val="001340E0"/>
    <w:rsid w:val="00142022"/>
    <w:rsid w:val="0018473C"/>
    <w:rsid w:val="001A66DC"/>
    <w:rsid w:val="001D55F6"/>
    <w:rsid w:val="001E3A96"/>
    <w:rsid w:val="00220F37"/>
    <w:rsid w:val="00276E95"/>
    <w:rsid w:val="0028658E"/>
    <w:rsid w:val="00293E84"/>
    <w:rsid w:val="002C447F"/>
    <w:rsid w:val="002D2F3D"/>
    <w:rsid w:val="002F3283"/>
    <w:rsid w:val="002F48DF"/>
    <w:rsid w:val="003157EF"/>
    <w:rsid w:val="003215A7"/>
    <w:rsid w:val="003221D8"/>
    <w:rsid w:val="003315F6"/>
    <w:rsid w:val="0033564B"/>
    <w:rsid w:val="0036065D"/>
    <w:rsid w:val="003A00DC"/>
    <w:rsid w:val="003B575A"/>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AE1C23"/>
    <w:rsid w:val="00B517F1"/>
    <w:rsid w:val="00B536BD"/>
    <w:rsid w:val="00B63A7F"/>
    <w:rsid w:val="00BC407F"/>
    <w:rsid w:val="00C211B4"/>
    <w:rsid w:val="00CC6A0E"/>
    <w:rsid w:val="00CE2C39"/>
    <w:rsid w:val="00D47BE4"/>
    <w:rsid w:val="00D61739"/>
    <w:rsid w:val="00DC6934"/>
    <w:rsid w:val="00DE0809"/>
    <w:rsid w:val="00E8785E"/>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86FA0"/>
  <w15:chartTrackingRefBased/>
  <w15:docId w15:val="{3F192D76-CC03-4C3C-8E4B-26B63BD8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AE1C23"/>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AE1C23"/>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AE1C23"/>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AE1C23"/>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AE1C23"/>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AE1C23"/>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AE1C23"/>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AE1C23"/>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AE1C23"/>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C2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E1C2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1C2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1C23"/>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AE1C23"/>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AE1C23"/>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AE1C23"/>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AE1C23"/>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AE1C23"/>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AE1C23"/>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AE1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C23"/>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AE1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C23"/>
    <w:pPr>
      <w:spacing w:before="160"/>
      <w:jc w:val="center"/>
    </w:pPr>
    <w:rPr>
      <w:i/>
      <w:iCs/>
      <w:color w:val="404040" w:themeColor="text1" w:themeTint="BF"/>
    </w:rPr>
  </w:style>
  <w:style w:type="character" w:customStyle="1" w:styleId="QuoteChar">
    <w:name w:val="Quote Char"/>
    <w:basedOn w:val="DefaultParagraphFont"/>
    <w:link w:val="Quote"/>
    <w:uiPriority w:val="29"/>
    <w:rsid w:val="00AE1C23"/>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AE1C23"/>
    <w:pPr>
      <w:ind w:left="720"/>
      <w:contextualSpacing/>
    </w:pPr>
  </w:style>
  <w:style w:type="character" w:styleId="IntenseEmphasis">
    <w:name w:val="Intense Emphasis"/>
    <w:basedOn w:val="DefaultParagraphFont"/>
    <w:uiPriority w:val="21"/>
    <w:qFormat/>
    <w:rsid w:val="00AE1C23"/>
    <w:rPr>
      <w:i/>
      <w:iCs/>
      <w:color w:val="365F91" w:themeColor="accent1" w:themeShade="BF"/>
    </w:rPr>
  </w:style>
  <w:style w:type="paragraph" w:styleId="IntenseQuote">
    <w:name w:val="Intense Quote"/>
    <w:basedOn w:val="Normal"/>
    <w:next w:val="Normal"/>
    <w:link w:val="IntenseQuoteChar"/>
    <w:uiPriority w:val="30"/>
    <w:qFormat/>
    <w:rsid w:val="00AE1C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E1C23"/>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AE1C23"/>
    <w:rPr>
      <w:b/>
      <w:bCs/>
      <w:smallCaps/>
      <w:color w:val="365F91" w:themeColor="accent1" w:themeShade="BF"/>
      <w:spacing w:val="5"/>
    </w:rPr>
  </w:style>
  <w:style w:type="paragraph" w:styleId="Header">
    <w:name w:val="header"/>
    <w:basedOn w:val="Normal"/>
    <w:link w:val="HeaderChar"/>
    <w:uiPriority w:val="99"/>
    <w:unhideWhenUsed/>
    <w:rsid w:val="00AE1C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1C23"/>
    <w:rPr>
      <w:rFonts w:asciiTheme="majorBidi" w:hAnsiTheme="majorBidi" w:cstheme="majorBidi"/>
      <w:sz w:val="24"/>
      <w:szCs w:val="24"/>
    </w:rPr>
  </w:style>
  <w:style w:type="paragraph" w:styleId="Footer">
    <w:name w:val="footer"/>
    <w:basedOn w:val="Normal"/>
    <w:link w:val="FooterChar"/>
    <w:uiPriority w:val="99"/>
    <w:unhideWhenUsed/>
    <w:rsid w:val="00AE1C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AE1C23"/>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1645</Words>
  <Characters>938</Characters>
  <Application>Microsoft Office Word</Application>
  <DocSecurity>0</DocSecurity>
  <Lines>7</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2026-03-27T07:09:00Z</dcterms:created>
  <dcterms:modified xsi:type="dcterms:W3CDTF">2026-03-27T07:15:00Z</dcterms:modified>
</cp:coreProperties>
</file>