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naujomis DNR sekomis, naujais baltymais, koduojamais šių sekų, ir su toliau aprašytu tokių baltymų panaudojimu. Šis išradimas taip pat apima vektorius, tokius kaip sukonstruotos plazmidės, savo sudėtyje turinčios šias DNR sekas, galinčias ekspresuoti norimus fermentus. Šis išradimas taip pat apima šių sukonstruotų plazmidžių transfekuotus organizmus, pvz., bakterijas, mieles, žinduolių ląsteles ir transgeninius gyvūnus. Išradimas taip pat susijęs su išrastų naujų produktų gamybos procesais. Išradimo nauji baltymai artimi fermentui, žinomam kaip žmogaus tulžies druskosstimuliuojama lipazė.</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