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farmacijai, būtent vaistiniams preparatams, turintiems baltyminių medžiagų. Preparatas sudarytas iš veikliosios medžiagos, skiediklio ir pagalbinių medžiagų. Veikliąja medžiaga naudoja kalcitonino gamybos atliekas, t.y., mažo aktyvumo (4-40 V/mg) kalcitoniną iš  kiaulių skydliaukės. Ingredientai preparate yra žemiau nurodytu santykiu, masės % :@-kalcitonino gamybos atliekos, (4-40 V/mg aktyvumas)</w:t>
        <w:tab/>
        <w:t>0,125-0,0125@-skiediklis</w:t>
        <w:tab/>
        <w:tab/>
        <w:tab/>
        <w:tab/>
        <w:tab/>
        <w:tab/>
        <w:t>84-98@-rišančioji medžiaga</w:t>
        <w:tab/>
        <w:tab/>
        <w:tab/>
        <w:tab/>
        <w:tab/>
        <w:t>1-19@-pudruojanti medžiaga</w:t>
        <w:tab/>
        <w:tab/>
        <w:tab/>
        <w:tab/>
        <w:tab/>
        <w:t xml:space="preserve">0,8-1.@Siūlomas preparatas vartojamas gydyti ligas, susijusias su skeleto pakitimais.       @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