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B5AB" w14:textId="723A40B7" w:rsidR="00C46B04" w:rsidRPr="000D6BB8" w:rsidRDefault="00C46B04" w:rsidP="000D6BB8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DE30DA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Antikūnas, kuris specifiškai rišasi tiek su PD1, tiek su VEGFR2, arba antigeną surišan</w:t>
      </w:r>
      <w:r w:rsidR="008A632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antikūno dali</w:t>
      </w:r>
      <w:r w:rsidR="008A632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kur antikūnas arba antigeną surišanti dalis apima sunkiosios grandinės kintamąją (VH) sritį ir lengvosios grandinės kintamąją (VL) sritį, kur</w:t>
      </w:r>
    </w:p>
    <w:p w14:paraId="20F839B0" w14:textId="5A3330E9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(a) VH srities aminorūgščių seka apima HCDR1, </w:t>
      </w:r>
      <w:r w:rsidR="00372DC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atitinkančią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GFTFSSYMMS (SEQ ID Nr. 1), HCDR2, </w:t>
      </w:r>
      <w:r w:rsidR="00372DC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atitinkančią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TISGGGSNKYYVDSVKG (SEQ ID Nr. 42) ir HCDR3, </w:t>
      </w:r>
      <w:r w:rsidR="00372DC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atitinkančią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QLYYFDY (SEQ ID Nr. 3); ir VL srities aminorūgščių seka apima LCDR1, </w:t>
      </w:r>
      <w:r w:rsidR="00372DC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atitinkančią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RASQESGIWLS (SEQ ID Nr. 39), LCDR2, </w:t>
      </w:r>
      <w:r w:rsidR="00372DC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atitinkančią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TATSLAD (SEQ ID Nr. 5)</w:t>
      </w:r>
      <w:r w:rsidR="00372DC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ir LCDR3, </w:t>
      </w:r>
      <w:r w:rsidR="00372DC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atitinkančią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QQVSVTPFT (SEQ ID Nr. 11);</w:t>
      </w:r>
    </w:p>
    <w:p w14:paraId="6DC9E33C" w14:textId="1D758586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 VH srities aminorūgščių seka apima</w:t>
      </w:r>
      <w:r w:rsidR="00372DC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HCDR1</w:t>
      </w:r>
      <w:r w:rsidR="00372DC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atitinkančią GFTFSSYMMS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(SEQ ID Nr. 1),</w:t>
      </w:r>
      <w:r w:rsidR="00372DC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HCDR2, atitinkančią TISGGGSNKYYVDSVKG (SEQ ID Nr. 42) ir HCDR3, atitinkančią QLYYFDY (SEQ ID Nr. 3);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 VL</w:t>
      </w:r>
      <w:r w:rsidR="008A632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srities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aminorūgščių seka </w:t>
      </w:r>
      <w:r w:rsidR="00372DC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apima LCDR1, atitinkančią RASQESGIWLS (SEQ ID Nr. 39),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LCDR2</w:t>
      </w:r>
      <w:r w:rsidR="00372DC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a</w:t>
      </w:r>
      <w:r w:rsidR="0057534F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</w:t>
      </w:r>
      <w:r w:rsidR="00372DC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itinkančią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72DC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AASSLQS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(SEQ ID Nr. 43)</w:t>
      </w:r>
      <w:r w:rsidR="0057534F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LCDR3, </w:t>
      </w:r>
      <w:r w:rsidR="00372DC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atitinkančią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QQVSVTPFT (SEQ ID Nr. 11);</w:t>
      </w:r>
    </w:p>
    <w:p w14:paraId="751F6DE1" w14:textId="35C68F55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(c)</w:t>
      </w:r>
      <w:r w:rsidR="001F65E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VH srities aminorūgščių seka apima HCDR1, atitinkančią GFTFSSYMMS (SEQ ID Nr. 1), HCDR2, atitinkančią TISGGGSNKYYVDSVKG (SEQ ID Nr. 42) ir HCDR3, atitinkančią QLYYFDY (SEQ ID Nr. 3); ir VL</w:t>
      </w:r>
      <w:r w:rsidR="0057534F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srities</w:t>
      </w:r>
      <w:r w:rsidR="001F65E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aminorūgščių seka apima LCDR1, atitinkančią RASQESGIWLS (SEQ ID Nr. 39), LCDR2, a</w:t>
      </w:r>
      <w:r w:rsidR="0057534F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</w:t>
      </w:r>
      <w:r w:rsidR="001F65E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itinkančią TASSLAD (SEQ ID Nr. 40), ir LCDR3, atitinkančią QQVSVTPFT (SEQ ID Nr. 11);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1C2667C1" w14:textId="0AD55911" w:rsidR="001F65E9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(d) </w:t>
      </w:r>
      <w:r w:rsidR="001F65E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 srities aminorūgščių seka apima HCDR1, atitinkančią GFTFSSYMMS (SEQ ID Nr. 1), HCDR2, atitinkančią TISGGGSNKYYVDSVKG (SEQ ID Nr. 42) ir HCDR3, atitinkančią QLYYFDY (SEQ ID Nr. 3); ir VL</w:t>
      </w:r>
      <w:r w:rsidR="0057534F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srities</w:t>
      </w:r>
      <w:r w:rsidR="001F65E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aminorūgščių seka apima LCDR1, atitinkančią RASQESGIWLS (SEQ ID Nr. 39), LCDR2, a</w:t>
      </w:r>
      <w:r w:rsidR="0057534F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</w:t>
      </w:r>
      <w:r w:rsidR="001F65E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itinkančią AASSLAD (SEQ ID Nr. 41), ir LCDR3, atitinkančią QQVSVTPFT (SEQ ID Nr. 11).</w:t>
      </w:r>
    </w:p>
    <w:p w14:paraId="76165D1E" w14:textId="77777777" w:rsidR="001F65E9" w:rsidRPr="000D6BB8" w:rsidRDefault="001F65E9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8E3A135" w14:textId="5F065849" w:rsidR="00C46B04" w:rsidRPr="000D6BB8" w:rsidRDefault="00C46B04" w:rsidP="000D6BB8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DE30DA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 arba antigeną surišanti dalis pagal 1 punktą, kur</w:t>
      </w:r>
    </w:p>
    <w:p w14:paraId="7FAC5188" w14:textId="77777777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(a) VH srities aminorūgščių seka apima SEQ ID Nr. 49, o VL srities aminorūgščių seka apima SEQ ID Nr. 44;</w:t>
      </w:r>
    </w:p>
    <w:p w14:paraId="10C0C219" w14:textId="77777777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 VH srities aminorūgščių seka apima SEQ ID Nr. 49, o VL srities aminorūgščių seka apima SEQ ID Nr. 47;</w:t>
      </w:r>
    </w:p>
    <w:p w14:paraId="4DE2FDF1" w14:textId="77777777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(c) VH srities aminorūgščių seka apima SEQ ID Nr. 49, o VL srities aminorūgščių seka apima SEQ ID Nr. 45; arba</w:t>
      </w:r>
    </w:p>
    <w:p w14:paraId="1834DD9F" w14:textId="77777777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(d) VH srities aminorūgščių seka apima SEQ ID Nr. 49, o VL srities aminorūgščių seka apima SEQ ID Nr. 46.</w:t>
      </w:r>
    </w:p>
    <w:p w14:paraId="542E71EA" w14:textId="77777777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F71416F" w14:textId="78D25D71" w:rsidR="00C46B04" w:rsidRPr="000D6BB8" w:rsidRDefault="00C46B04" w:rsidP="000D6BB8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EA0785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 arba antigeną surišanti dalis pagal 1 arba 2 punktą, kur:</w:t>
      </w:r>
    </w:p>
    <w:p w14:paraId="46E8260D" w14:textId="77777777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 yra humanizuotas arba chimerinis; ir/arba</w:t>
      </w:r>
    </w:p>
    <w:p w14:paraId="53089BAF" w14:textId="14E3AEA3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VH sritis, VL sritis arba </w:t>
      </w:r>
      <w:r w:rsidR="00F372BA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tiek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VH, </w:t>
      </w:r>
      <w:r w:rsidR="00F372BA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tiek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VL srit</w:t>
      </w:r>
      <w:r w:rsidR="00CA579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 apima vieną arba daugiau žmogaus karkas</w:t>
      </w:r>
      <w:r w:rsidR="00F372BA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inės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srities aminorūgščių sekų; ir/arba</w:t>
      </w:r>
    </w:p>
    <w:p w14:paraId="0C49760C" w14:textId="44E2DD90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VH sritis, VL sritis arba </w:t>
      </w:r>
      <w:r w:rsidR="00F372BA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tiek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VH,</w:t>
      </w:r>
      <w:r w:rsidR="00F372BA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tiek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VL srit</w:t>
      </w:r>
      <w:r w:rsidR="00CA579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 apima žmogaus kintamos</w:t>
      </w:r>
      <w:r w:rsidR="00F372BA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ios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srities karkas</w:t>
      </w:r>
      <w:r w:rsidR="00F372BA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inės</w:t>
      </w:r>
      <w:r w:rsidR="00CA579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struktūros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aminorūgščių seką, į kurią buvo įterpt</w:t>
      </w:r>
      <w:r w:rsidR="00F372BA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CDR</w:t>
      </w:r>
      <w:r w:rsidR="00CA579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sritys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0B8C5BA5" w14:textId="77777777" w:rsidR="000D6BB8" w:rsidRPr="000D6BB8" w:rsidRDefault="000D6BB8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4417375" w14:textId="3DAF3619" w:rsidR="00C46B04" w:rsidRPr="000D6BB8" w:rsidRDefault="00C46B04" w:rsidP="000D6BB8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EA0785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 arba antigeną surišanti dalis pagal 1 punktą, kur</w:t>
      </w:r>
    </w:p>
    <w:p w14:paraId="5DF70CDE" w14:textId="0EBBF2D0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VH sritis apima IGHV3-7 žmogaus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</w:t>
      </w:r>
      <w:r w:rsidR="00CA579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onocitų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linijos karkas</w:t>
      </w:r>
      <w:r w:rsidR="00CA579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inės struktūros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aminorūgščių seką, į kurią buvo įterptos HCDR1, HCDR2 ir HCDR3 aminorūgščių sekos; ir/arba</w:t>
      </w:r>
    </w:p>
    <w:p w14:paraId="69B597C8" w14:textId="5620955B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VL sritis apima IGKV1-39 žmogaus </w:t>
      </w:r>
      <w:proofErr w:type="spellStart"/>
      <w:r w:rsidR="00CA579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gonocitų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linijos karkas</w:t>
      </w:r>
      <w:r w:rsidR="00CA579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inės struktūros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aminorūgščių seką, į kurią buvo įterptos LCDR1, LCDR2 ir LCDR3 aminorūgščių sekos.</w:t>
      </w:r>
    </w:p>
    <w:p w14:paraId="35E2EFD4" w14:textId="77777777" w:rsidR="00CA579B" w:rsidRPr="000D6BB8" w:rsidRDefault="00CA579B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28EBD45" w14:textId="586E75B2" w:rsidR="00C46B04" w:rsidRPr="000D6BB8" w:rsidRDefault="00C46B04" w:rsidP="000D6BB8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5. Antikūnas arba antigeną </w:t>
      </w:r>
      <w:r w:rsidR="00CA579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rišanti dalis pagal bet kurį iš 1-4 punktų, kur antikūnas arba antigeną </w:t>
      </w:r>
      <w:r w:rsidR="00CA579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rišanti dalis apima imunoglobulino pastovią</w:t>
      </w:r>
      <w:r w:rsidR="00CA579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ją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sritį; pasirinktinai</w:t>
      </w:r>
      <w:r w:rsidR="00CA579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kur imunoglobulino pastovi</w:t>
      </w:r>
      <w:r w:rsidR="00CA579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oji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sritis:</w:t>
      </w:r>
    </w:p>
    <w:p w14:paraId="08FFC754" w14:textId="0CEA193F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(i) yra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IgG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IgE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IgM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IgD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IgA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IgY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 pasirinktinai</w:t>
      </w:r>
      <w:r w:rsidR="00CA579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IgG1, IgG2, IgG3, IgG4, IgA1 arba IgA2; arba</w:t>
      </w:r>
    </w:p>
    <w:p w14:paraId="578E8B06" w14:textId="77777777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(ii) yra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imunologiškai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inertiška; arba</w:t>
      </w:r>
    </w:p>
    <w:p w14:paraId="12785726" w14:textId="3D8B6264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 xml:space="preserve">(iii) yra žmogaus IgG4 </w:t>
      </w:r>
      <w:r w:rsidR="00CA579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laukinio tipo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pastovi</w:t>
      </w:r>
      <w:r w:rsidR="00CA579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oji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sritis, žmogaus IgG4 pastovi</w:t>
      </w:r>
      <w:r w:rsidR="00CA579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oji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sritis, apimanti aminorūgš</w:t>
      </w:r>
      <w:r w:rsidR="00CA579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ties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pak</w:t>
      </w:r>
      <w:r w:rsidR="00CA579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eitimą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S228P, žmogaus IgG1</w:t>
      </w:r>
      <w:r w:rsidR="00382C8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laukinio tipo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pastovi</w:t>
      </w:r>
      <w:r w:rsidR="00382C8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oji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sritis, žmogaus IgG1 pastovi</w:t>
      </w:r>
      <w:r w:rsidR="00382C8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oji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sritis, apimanti aminorūgš</w:t>
      </w:r>
      <w:r w:rsidR="00382C8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čių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pak</w:t>
      </w:r>
      <w:r w:rsidR="00382C8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eitimus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L234A, L235A ir G237A arba žmogaus IgG2</w:t>
      </w:r>
      <w:r w:rsidR="00382C8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laukinio tipo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pastovi</w:t>
      </w:r>
      <w:r w:rsidR="00382C8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oji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sritis; arba</w:t>
      </w:r>
    </w:p>
    <w:p w14:paraId="2DB40AD9" w14:textId="77777777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(iv) apima bet kurią iš SEQ ID Nr. 25-31.</w:t>
      </w:r>
    </w:p>
    <w:p w14:paraId="221056FF" w14:textId="77777777" w:rsidR="007D5289" w:rsidRPr="000D6BB8" w:rsidRDefault="007D5289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AB49480" w14:textId="41C90916" w:rsidR="00C46B04" w:rsidRPr="000D6BB8" w:rsidRDefault="00C46B04" w:rsidP="000D6BB8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EA0785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Antikūnas arba antigeną </w:t>
      </w:r>
      <w:r w:rsidR="00382C8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rišanti dalis pagal bet kurį iš 1-5 punktų, kur antikūnas arba antigeną </w:t>
      </w:r>
      <w:r w:rsidR="00DE7121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rišanti dalis yra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Fab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Fab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', F(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ab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')</w:t>
      </w:r>
      <w:r w:rsidRPr="000D6BB8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2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Fd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Fv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scFv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7D5289" w:rsidRPr="000D6BB8">
        <w:rPr>
          <w:rFonts w:ascii="Helvetica" w:hAnsi="Helvetica" w:cs="Arial"/>
          <w:sz w:val="20"/>
        </w:rPr>
        <w:t xml:space="preserve"> </w:t>
      </w:r>
      <w:proofErr w:type="spellStart"/>
      <w:r w:rsidR="007D5289" w:rsidRPr="000D6BB8">
        <w:rPr>
          <w:rFonts w:ascii="Helvetica" w:hAnsi="Helvetica" w:cs="Arial"/>
          <w:sz w:val="20"/>
          <w:szCs w:val="24"/>
        </w:rPr>
        <w:t>maksikūnas</w:t>
      </w:r>
      <w:proofErr w:type="spellEnd"/>
      <w:r w:rsidR="007D5289" w:rsidRPr="000D6BB8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7D5289" w:rsidRPr="000D6BB8">
        <w:rPr>
          <w:rFonts w:ascii="Helvetica" w:hAnsi="Helvetica" w:cs="Arial"/>
          <w:sz w:val="20"/>
          <w:szCs w:val="24"/>
        </w:rPr>
        <w:t>dikūnas</w:t>
      </w:r>
      <w:proofErr w:type="spellEnd"/>
      <w:r w:rsidR="007D5289" w:rsidRPr="000D6BB8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7D5289" w:rsidRPr="000D6BB8">
        <w:rPr>
          <w:rFonts w:ascii="Helvetica" w:hAnsi="Helvetica" w:cs="Arial"/>
          <w:sz w:val="20"/>
          <w:szCs w:val="24"/>
        </w:rPr>
        <w:t>trikūnas</w:t>
      </w:r>
      <w:proofErr w:type="spellEnd"/>
      <w:r w:rsidR="007D5289" w:rsidRPr="000D6BB8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="007D5289" w:rsidRPr="000D6BB8">
        <w:rPr>
          <w:rFonts w:ascii="Helvetica" w:hAnsi="Helvetica" w:cs="Arial"/>
          <w:sz w:val="20"/>
          <w:szCs w:val="24"/>
        </w:rPr>
        <w:t>tetrakūnas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bi-scFv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76DE3FFC" w14:textId="67EFB554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7CE4790" w14:textId="48330265" w:rsidR="00C46B04" w:rsidRPr="000D6BB8" w:rsidRDefault="00C46B04" w:rsidP="000D6BB8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EA0785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Antikūnas arba antigeną </w:t>
      </w:r>
      <w:r w:rsidR="00382C8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rišanti dalis pagal bet kurį iš 1-6 punktų, kur antikūnas arba antigeną </w:t>
      </w:r>
      <w:r w:rsidR="00D3300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rišanti dalis yra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tetramerinė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keturvalentė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daugiaspecifinė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4749A9BF" w14:textId="1B28699A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E493FFC" w14:textId="466E93C9" w:rsidR="00C46B04" w:rsidRPr="000D6BB8" w:rsidRDefault="00C46B04" w:rsidP="000D6BB8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</w:t>
      </w:r>
      <w:r w:rsidR="00EA0785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Imunokonjugatas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apimantis antikūną arba antigeną </w:t>
      </w:r>
      <w:r w:rsidR="00382C8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rišančią dalį pagal bet kurį iš 1-7 punktų, </w:t>
      </w:r>
      <w:r w:rsidR="00D3300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jungtą su terapiniu agentu; pasirinktinai</w:t>
      </w:r>
      <w:r w:rsidR="00D3300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kur terapinis agentas yra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citotoksinas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radioizotopas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chemoterapinis agentas,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imunomoduliuojantis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agentas,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citostatinis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fermentas,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citolitinis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fermentas, terapinė nukleorūgštis, </w:t>
      </w:r>
      <w:proofErr w:type="spellStart"/>
      <w:r w:rsidR="00D3300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angiogeninis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agentas,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antiproliferacinis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agentas arba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proapopto</w:t>
      </w:r>
      <w:r w:rsidR="00D3300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z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inis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agentas.</w:t>
      </w:r>
    </w:p>
    <w:p w14:paraId="52EE43AE" w14:textId="77777777" w:rsidR="00D33004" w:rsidRPr="000D6BB8" w:rsidRDefault="00D330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2D264A1" w14:textId="1077C14C" w:rsidR="00C46B04" w:rsidRPr="000D6BB8" w:rsidRDefault="00C46B04" w:rsidP="000D6BB8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7A2FE5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Farmacinė kompozicija, apimanti antikūną arba antigeną </w:t>
      </w:r>
      <w:r w:rsidR="00D3300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rišančią dalį pagal bet kurį iš 1-7 punktų arba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imunokonjugatą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8 punktą ir farmaciniu požiūriu priimtiną nešiklį, skiediklį arba </w:t>
      </w:r>
      <w:r w:rsidR="00D3300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pagalbinę medžiagą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464FF7E9" w14:textId="77777777" w:rsidR="00D33004" w:rsidRPr="000D6BB8" w:rsidRDefault="00D330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A31C927" w14:textId="4C6FDFE9" w:rsidR="00C46B04" w:rsidRPr="000D6BB8" w:rsidRDefault="00C46B04" w:rsidP="000D6BB8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7A2FE5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Nukleorūgšties molekulė, koduojanti antikūno arba antigeną surišančios dalies pagal bet kurį iš 1-7 punktų</w:t>
      </w:r>
      <w:r w:rsidR="003D2C6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tiek VH, tiek VL srities aminorūgščių sekas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27566F81" w14:textId="4EF82E34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B1806B8" w14:textId="0B8A5F80" w:rsidR="00C46B04" w:rsidRPr="000D6BB8" w:rsidRDefault="00C46B04" w:rsidP="000D6BB8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11.</w:t>
      </w:r>
      <w:r w:rsidR="007A2FE5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3300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 vektorius, apimantis nukleorūgšties molekulę pagal 10 punktą.</w:t>
      </w:r>
    </w:p>
    <w:p w14:paraId="3A006827" w14:textId="5078E6CF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E2FAF07" w14:textId="25A89C17" w:rsidR="00C46B04" w:rsidRPr="000D6BB8" w:rsidRDefault="00C46B04" w:rsidP="000D6BB8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12.</w:t>
      </w:r>
      <w:r w:rsidR="007A2FE5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Rekombinantinė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ląstelė</w:t>
      </w:r>
      <w:r w:rsidR="003D2C6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šeimininkė, apimanti nukleorūgšties molekulę pagal 10 punktą arba </w:t>
      </w:r>
      <w:r w:rsidR="003D2C6B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 vektorių pagal 11 punktą.</w:t>
      </w:r>
    </w:p>
    <w:p w14:paraId="3CA8742A" w14:textId="07C649C0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57D3A7D" w14:textId="61474F9E" w:rsidR="00C46B04" w:rsidRPr="000D6BB8" w:rsidRDefault="00C46B04" w:rsidP="000D6BB8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13.</w:t>
      </w:r>
      <w:r w:rsidR="00E302C0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F6A2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ntikūno</w:t>
      </w:r>
      <w:r w:rsidR="003F6A2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prieš PD1 ir prieš VEGFR2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antigeną surišančios </w:t>
      </w:r>
      <w:r w:rsidR="003F6A2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dalies gamybos būdas, apimantis:</w:t>
      </w:r>
    </w:p>
    <w:p w14:paraId="50398EF9" w14:textId="07AA3175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rekombinantinės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ląstelės</w:t>
      </w:r>
      <w:r w:rsidR="003F6A2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šeimininkės pagal 12 punktą kultivavimą sąlygomis, kuriomis </w:t>
      </w:r>
      <w:r w:rsidR="003F6A2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vykdoma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nukleorūgšties molekulė</w:t>
      </w:r>
      <w:r w:rsidR="003F6A2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 raiška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tokiu būdu </w:t>
      </w:r>
      <w:r w:rsidR="003F6A2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gaunan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t antikūną arba antigeną </w:t>
      </w:r>
      <w:r w:rsidR="003F6A2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rišančią dalį; ir</w:t>
      </w:r>
    </w:p>
    <w:p w14:paraId="4B2EBDD3" w14:textId="5ED87A6D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 arba antigeną surišančios dalies išskyrim</w:t>
      </w:r>
      <w:r w:rsidR="003F6A2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iš ląstelės-šeimininkės arba kultūros.</w:t>
      </w:r>
    </w:p>
    <w:p w14:paraId="03478EEA" w14:textId="77777777" w:rsidR="00C8285F" w:rsidRPr="000D6BB8" w:rsidRDefault="00C8285F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D8109DD" w14:textId="2EA5D488" w:rsidR="00C46B04" w:rsidRPr="000D6BB8" w:rsidRDefault="00C46B04" w:rsidP="000D6BB8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14.</w:t>
      </w:r>
      <w:r w:rsidR="00E302C0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Antikūnas arba antigeną surišanti dalis pagal bet kurį iš 1-7 punktų,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imunokonjugatas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8 punktą arba farmacinė kompozicija pagal 9 punktą, skirti naudoti kaip vaist</w:t>
      </w:r>
      <w:r w:rsidR="003F6A29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1F21FE28" w14:textId="430EFA51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97E90BF" w14:textId="214083DA" w:rsidR="00C46B04" w:rsidRPr="000D6BB8" w:rsidRDefault="00C46B04" w:rsidP="000D6BB8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15.</w:t>
      </w:r>
      <w:r w:rsidR="00E302C0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Antikūnas arba antigeną surišanti dalis pagal bet kurį iš 1-7 punktų,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imunokonjugatas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8 punktą arba farmacinė kompozicija pagal 9 punktą, skirti naudoti vėžio, infekcinės ligos arba imuninės ligos gydymui.</w:t>
      </w:r>
    </w:p>
    <w:p w14:paraId="76200664" w14:textId="65FEA373" w:rsidR="00C46B04" w:rsidRPr="000D6BB8" w:rsidRDefault="00C46B04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B12F9EE" w14:textId="5A5E12A8" w:rsidR="001D0D08" w:rsidRPr="000D6BB8" w:rsidRDefault="00C46B04" w:rsidP="000D6BB8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16.</w:t>
      </w:r>
      <w:r w:rsidR="00E302C0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Antikūnas arba antigeną surišanti dalis, </w:t>
      </w:r>
      <w:proofErr w:type="spellStart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imunokonjugatas</w:t>
      </w:r>
      <w:proofErr w:type="spellEnd"/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farmacinė kompozicija, skirt</w:t>
      </w:r>
      <w:r w:rsidR="0057534F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naudoti pagal 15 punktą, kur:</w:t>
      </w:r>
    </w:p>
    <w:p w14:paraId="25275F31" w14:textId="671E21FD" w:rsidR="001D0D08" w:rsidRPr="000D6BB8" w:rsidRDefault="001D0D08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 </w:t>
      </w:r>
      <w:r w:rsidRPr="000D6BB8">
        <w:rPr>
          <w:rFonts w:ascii="Helvetica" w:hAnsi="Helvetica" w:cs="Arial"/>
          <w:sz w:val="20"/>
          <w:szCs w:val="24"/>
        </w:rPr>
        <w:t xml:space="preserve">(i) vėžys yra kasos vėžys, melanoma, krūties vėžys, plaučių vėžys, bronchų vėžys, </w:t>
      </w:r>
      <w:proofErr w:type="spellStart"/>
      <w:r w:rsidRPr="000D6BB8">
        <w:rPr>
          <w:rFonts w:ascii="Helvetica" w:hAnsi="Helvetica" w:cs="Arial"/>
          <w:sz w:val="20"/>
          <w:szCs w:val="24"/>
        </w:rPr>
        <w:t>kolorektalinis</w:t>
      </w:r>
      <w:proofErr w:type="spellEnd"/>
      <w:r w:rsidRPr="000D6BB8">
        <w:rPr>
          <w:rFonts w:ascii="Helvetica" w:hAnsi="Helvetica" w:cs="Arial"/>
          <w:sz w:val="20"/>
          <w:szCs w:val="24"/>
        </w:rPr>
        <w:t xml:space="preserve"> vėžys, prostatos vėžys, skrandžio vėžys, kiaušidžių vėžys, šlapimo pūslės vėžys, smegenų arba centrinės nervų sistemos vėžys, periferinės nervų sistemos vėžys, stemplės vėžys, gimdos kaklelio vėžys, gimdos arba </w:t>
      </w:r>
      <w:proofErr w:type="spellStart"/>
      <w:r w:rsidRPr="000D6BB8">
        <w:rPr>
          <w:rFonts w:ascii="Helvetica" w:hAnsi="Helvetica" w:cs="Arial"/>
          <w:sz w:val="20"/>
          <w:szCs w:val="24"/>
        </w:rPr>
        <w:t>endometriumo</w:t>
      </w:r>
      <w:proofErr w:type="spellEnd"/>
      <w:r w:rsidRPr="000D6BB8">
        <w:rPr>
          <w:rFonts w:ascii="Helvetica" w:hAnsi="Helvetica" w:cs="Arial"/>
          <w:sz w:val="20"/>
          <w:szCs w:val="24"/>
        </w:rPr>
        <w:t xml:space="preserve"> vėžys, burnos ertmės arba ryklės vėžys, kepenų vėžys, inkstų vėžys, sėklidžių vėžys, tulžies </w:t>
      </w:r>
      <w:r w:rsidRPr="000D6BB8">
        <w:rPr>
          <w:rFonts w:ascii="Helvetica" w:hAnsi="Helvetica" w:cs="Arial"/>
          <w:sz w:val="20"/>
          <w:szCs w:val="24"/>
        </w:rPr>
        <w:lastRenderedPageBreak/>
        <w:t xml:space="preserve">latakų vėžys, plonosios žarnos arba kirmėlinės ataugos vėžys, seilių liaukų vėžys, skydliaukės vėžys, antinksčių vėžys, </w:t>
      </w:r>
      <w:proofErr w:type="spellStart"/>
      <w:r w:rsidRPr="000D6BB8">
        <w:rPr>
          <w:rFonts w:ascii="Helvetica" w:hAnsi="Helvetica" w:cs="Arial"/>
          <w:sz w:val="20"/>
          <w:szCs w:val="24"/>
        </w:rPr>
        <w:t>osteosarkoma</w:t>
      </w:r>
      <w:proofErr w:type="spellEnd"/>
      <w:r w:rsidRPr="000D6BB8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0D6BB8">
        <w:rPr>
          <w:rFonts w:ascii="Helvetica" w:hAnsi="Helvetica" w:cs="Arial"/>
          <w:sz w:val="20"/>
          <w:szCs w:val="24"/>
        </w:rPr>
        <w:t>chondrosarkoma</w:t>
      </w:r>
      <w:proofErr w:type="spellEnd"/>
      <w:r w:rsidRPr="000D6BB8">
        <w:rPr>
          <w:rFonts w:ascii="Helvetica" w:hAnsi="Helvetica" w:cs="Arial"/>
          <w:sz w:val="20"/>
          <w:szCs w:val="24"/>
        </w:rPr>
        <w:t xml:space="preserve"> arba </w:t>
      </w:r>
      <w:proofErr w:type="spellStart"/>
      <w:r w:rsidRPr="000D6BB8">
        <w:rPr>
          <w:rFonts w:ascii="Helvetica" w:hAnsi="Helvetica" w:cs="Arial"/>
          <w:sz w:val="20"/>
          <w:szCs w:val="24"/>
        </w:rPr>
        <w:t>kraujodaros</w:t>
      </w:r>
      <w:proofErr w:type="spellEnd"/>
      <w:r w:rsidRPr="000D6BB8">
        <w:rPr>
          <w:rFonts w:ascii="Helvetica" w:hAnsi="Helvetica" w:cs="Arial"/>
          <w:sz w:val="20"/>
          <w:szCs w:val="24"/>
        </w:rPr>
        <w:t xml:space="preserve"> audinių vėžys; arba</w:t>
      </w:r>
    </w:p>
    <w:p w14:paraId="19768A50" w14:textId="3A29C0C2" w:rsidR="00C46B04" w:rsidRPr="000D6BB8" w:rsidRDefault="001D0D08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C46B0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ii) infekcinė liga yra virusinė, bakterinė, grybelinė arba parazitinė; arba</w:t>
      </w:r>
    </w:p>
    <w:p w14:paraId="73A4F11B" w14:textId="6ED49862" w:rsidR="00C46B04" w:rsidRPr="000D6BB8" w:rsidRDefault="001D0D08" w:rsidP="000D6BB8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C46B04" w:rsidRPr="000D6BB8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iii) infekcinė liga yra žmogaus imunodeficito viruso (ŽIV) infekcija.</w:t>
      </w:r>
    </w:p>
    <w:sectPr w:rsidR="00C46B04" w:rsidRPr="000D6BB8" w:rsidSect="000D6BB8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BC0FC" w14:textId="77777777" w:rsidR="008319A3" w:rsidRDefault="008319A3" w:rsidP="008A632B">
      <w:pPr>
        <w:spacing w:after="0" w:line="240" w:lineRule="auto"/>
      </w:pPr>
      <w:r>
        <w:separator/>
      </w:r>
    </w:p>
  </w:endnote>
  <w:endnote w:type="continuationSeparator" w:id="0">
    <w:p w14:paraId="4410E6CF" w14:textId="77777777" w:rsidR="008319A3" w:rsidRDefault="008319A3" w:rsidP="008A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19C66" w14:textId="77777777" w:rsidR="008319A3" w:rsidRDefault="008319A3" w:rsidP="008A632B">
      <w:pPr>
        <w:spacing w:after="0" w:line="240" w:lineRule="auto"/>
      </w:pPr>
      <w:r>
        <w:separator/>
      </w:r>
    </w:p>
  </w:footnote>
  <w:footnote w:type="continuationSeparator" w:id="0">
    <w:p w14:paraId="2B3E16ED" w14:textId="77777777" w:rsidR="008319A3" w:rsidRDefault="008319A3" w:rsidP="008A6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A2F"/>
    <w:multiLevelType w:val="multilevel"/>
    <w:tmpl w:val="16B2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83CDB"/>
    <w:multiLevelType w:val="multilevel"/>
    <w:tmpl w:val="ADBC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757459">
    <w:abstractNumId w:val="0"/>
  </w:num>
  <w:num w:numId="2" w16cid:durableId="101125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04"/>
    <w:rsid w:val="00006FAD"/>
    <w:rsid w:val="000D6BB8"/>
    <w:rsid w:val="001A6E79"/>
    <w:rsid w:val="001D0D08"/>
    <w:rsid w:val="001F65E9"/>
    <w:rsid w:val="00372DC4"/>
    <w:rsid w:val="00382C89"/>
    <w:rsid w:val="003D2C6B"/>
    <w:rsid w:val="003F6A29"/>
    <w:rsid w:val="0057534F"/>
    <w:rsid w:val="00675A67"/>
    <w:rsid w:val="007240DF"/>
    <w:rsid w:val="0076154D"/>
    <w:rsid w:val="007A2FE5"/>
    <w:rsid w:val="007D5289"/>
    <w:rsid w:val="008319A3"/>
    <w:rsid w:val="00864709"/>
    <w:rsid w:val="008A632B"/>
    <w:rsid w:val="00901B46"/>
    <w:rsid w:val="009C0389"/>
    <w:rsid w:val="009C6910"/>
    <w:rsid w:val="00A161E3"/>
    <w:rsid w:val="00A51139"/>
    <w:rsid w:val="00A70C9D"/>
    <w:rsid w:val="00C46B04"/>
    <w:rsid w:val="00C63A3C"/>
    <w:rsid w:val="00C8285F"/>
    <w:rsid w:val="00CA579B"/>
    <w:rsid w:val="00D0745E"/>
    <w:rsid w:val="00D33004"/>
    <w:rsid w:val="00D94745"/>
    <w:rsid w:val="00DE30DA"/>
    <w:rsid w:val="00DE7121"/>
    <w:rsid w:val="00E302C0"/>
    <w:rsid w:val="00EA0785"/>
    <w:rsid w:val="00F372BA"/>
    <w:rsid w:val="00F74565"/>
    <w:rsid w:val="00FA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15D60"/>
  <w15:chartTrackingRefBased/>
  <w15:docId w15:val="{DB4DE4D3-739E-475F-A723-DC98C89D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46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46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46B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46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46B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46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46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46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46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46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46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46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46B04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46B04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46B0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46B0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46B0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46B0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46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46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46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46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46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46B0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46B0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46B04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46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46B04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46B04"/>
    <w:rPr>
      <w:b/>
      <w:bCs/>
      <w:smallCaps/>
      <w:color w:val="2F5496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8A6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A632B"/>
  </w:style>
  <w:style w:type="paragraph" w:styleId="Porat">
    <w:name w:val="footer"/>
    <w:basedOn w:val="prastasis"/>
    <w:link w:val="PoratDiagrama"/>
    <w:uiPriority w:val="99"/>
    <w:unhideWhenUsed/>
    <w:rsid w:val="008A6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A632B"/>
  </w:style>
  <w:style w:type="paragraph" w:styleId="prastasiniatinklio">
    <w:name w:val="Normal (Web)"/>
    <w:basedOn w:val="prastasis"/>
    <w:uiPriority w:val="99"/>
    <w:unhideWhenUsed/>
    <w:rsid w:val="00F3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F372BA"/>
    <w:rPr>
      <w:b/>
      <w:bCs/>
    </w:rPr>
  </w:style>
  <w:style w:type="character" w:customStyle="1" w:styleId="bold">
    <w:name w:val="bold"/>
    <w:basedOn w:val="Numatytasispastraiposriftas"/>
    <w:rsid w:val="00D3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951</Words>
  <Characters>5790</Characters>
  <Application>Microsoft Office Word</Application>
  <DocSecurity>0</DocSecurity>
  <Lines>96</Lines>
  <Paragraphs>46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Minkutė</dc:creator>
  <cp:keywords/>
  <dc:description/>
  <cp:lastModifiedBy>Rasa Gurčytė</cp:lastModifiedBy>
  <cp:revision>13</cp:revision>
  <dcterms:created xsi:type="dcterms:W3CDTF">2025-03-11T19:43:00Z</dcterms:created>
  <dcterms:modified xsi:type="dcterms:W3CDTF">2025-05-28T11:04:00Z</dcterms:modified>
</cp:coreProperties>
</file>