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AD32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išsėtinei sklerozei gydyti,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 turi būti vartojama </w:t>
      </w:r>
      <w:proofErr w:type="spellStart"/>
      <w:r w:rsidRPr="009D2F35">
        <w:rPr>
          <w:rFonts w:ascii="Helvetica" w:hAnsi="Helvetica"/>
          <w:sz w:val="20"/>
        </w:rPr>
        <w:t>peroraliniu</w:t>
      </w:r>
      <w:proofErr w:type="spellEnd"/>
      <w:r w:rsidRPr="009D2F35">
        <w:rPr>
          <w:rFonts w:ascii="Helvetica" w:hAnsi="Helvetica"/>
          <w:sz w:val="20"/>
        </w:rPr>
        <w:t xml:space="preserve"> būdu, atliekant toliau nurodytus nuoseklius veiksmus: </w:t>
      </w:r>
    </w:p>
    <w:p w14:paraId="4C4B155B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(i) indukcinis laikotarpis iki 4 mėnesių, iki 3 mėnesių arba iki 2 mėnesių, kur turi būti vartojama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ir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indukcinio laikotarpio pabaigoje, yra </w:t>
      </w:r>
    </w:p>
    <w:p w14:paraId="777F14C1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maždaug 0,7 mg/kg,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atitinka gydymą 0,35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dieną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 arba maždaug 1,4 mg/kg,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atitinka gydymą 0,7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parą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40 %.</w:t>
      </w:r>
    </w:p>
    <w:p w14:paraId="614C2201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(ii) laikotarpis be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, trunkantis trumpiausiai 8 mėnesius, kai </w:t>
      </w:r>
      <w:proofErr w:type="spellStart"/>
      <w:r w:rsidRPr="009D2F35">
        <w:rPr>
          <w:rFonts w:ascii="Helvetica" w:hAnsi="Helvetica"/>
          <w:sz w:val="20"/>
        </w:rPr>
        <w:t>kladribinas</w:t>
      </w:r>
      <w:proofErr w:type="spellEnd"/>
      <w:r w:rsidRPr="009D2F35">
        <w:rPr>
          <w:rFonts w:ascii="Helvetica" w:hAnsi="Helvetica"/>
          <w:sz w:val="20"/>
        </w:rPr>
        <w:t xml:space="preserve"> neturi būti vartojamas;</w:t>
      </w:r>
    </w:p>
    <w:p w14:paraId="40C15DCD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(iii) palaikomasis laikotarpis iki 4 mėnesių, iki 3 mėnesių arba iki 2 mėnesių, kur turi būti vartojamas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</w:t>
      </w:r>
    </w:p>
    <w:p w14:paraId="5538485B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palaikomojo laikotarpio pabaigoje, yra mažesnė nei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indukcijos laikotarpio pabaigoje (i), ir yra lygi maždaug 0,7 mg/kg, kur minėta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yra lygi maždaug 0,7 mg/kg atitinka gydymą 0,35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dieną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40 %;</w:t>
      </w:r>
    </w:p>
    <w:p w14:paraId="6B3C9E74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(iv) laikotarpis be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, kai </w:t>
      </w:r>
      <w:proofErr w:type="spellStart"/>
      <w:r w:rsidRPr="009D2F35">
        <w:rPr>
          <w:rFonts w:ascii="Helvetica" w:hAnsi="Helvetica"/>
          <w:sz w:val="20"/>
        </w:rPr>
        <w:t>kladribinas</w:t>
      </w:r>
      <w:proofErr w:type="spellEnd"/>
      <w:r w:rsidRPr="009D2F35">
        <w:rPr>
          <w:rFonts w:ascii="Helvetica" w:hAnsi="Helvetica"/>
          <w:sz w:val="20"/>
        </w:rPr>
        <w:t xml:space="preserve"> neturi būti vartojamas.</w:t>
      </w:r>
    </w:p>
    <w:p w14:paraId="0F97A85A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82240DD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2.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1 punktą, kur i indukcinis laikotarpis trunka iki 4 mėnesių arba iki 2 mėnesių.</w:t>
      </w:r>
    </w:p>
    <w:p w14:paraId="651F32A7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8E71EBC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3.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1 arba 2 punktą, kur indukcinis laikotarpis trunka iki 2 mėnesių.</w:t>
      </w:r>
    </w:p>
    <w:p w14:paraId="55930BFB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53F756D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4.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1 arba 2 punktą, kur indukcinis laikotarpis trunka iki 4 mėnesių.</w:t>
      </w:r>
    </w:p>
    <w:p w14:paraId="6E8896E2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9115677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5.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indukcinio laikotarpio pabaigoje, yra lygi maždaug 0,7 mg/kg,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atitinka gydymą 0,35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dieną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40 %.</w:t>
      </w:r>
    </w:p>
    <w:p w14:paraId="792EB82B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05C3885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6.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indukcinio laikotarpio pabaigoje, yra lygi maždaug 1,4 mg/kg,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atitinka gydymą 0,7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dieną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40 %.</w:t>
      </w:r>
    </w:p>
    <w:p w14:paraId="3CF0F333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2AEBDCD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7.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laikotarpis be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trunka iki 10 mėnesių arba iki 9 mėnesių, arba iki 8 mėnesių.</w:t>
      </w:r>
    </w:p>
    <w:p w14:paraId="04B425E3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E1E22BA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8.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laikotarpis be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(iv) trunka trumpiausiai 8 mėnesius.</w:t>
      </w:r>
    </w:p>
    <w:p w14:paraId="3526F8F4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329667F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lastRenderedPageBreak/>
        <w:t xml:space="preserve">9.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palaikomasis laikotarpis trunka iki 2 mėnesių.</w:t>
      </w:r>
    </w:p>
    <w:p w14:paraId="564DDAA8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3CA504A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10.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palaikomojo laikotarpio pabaigoje, yra lygi maždaug 0,7 mg/kg,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atitinka gydymą 0,35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dieną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40 %.</w:t>
      </w:r>
    </w:p>
    <w:p w14:paraId="0376DC3C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1EBA9DD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11.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</w:t>
      </w:r>
      <w:proofErr w:type="spellStart"/>
      <w:r w:rsidRPr="009D2F35">
        <w:rPr>
          <w:rFonts w:ascii="Helvetica" w:hAnsi="Helvetica"/>
          <w:sz w:val="20"/>
        </w:rPr>
        <w:t>indukcijnio</w:t>
      </w:r>
      <w:proofErr w:type="spellEnd"/>
      <w:r w:rsidRPr="009D2F35">
        <w:rPr>
          <w:rFonts w:ascii="Helvetica" w:hAnsi="Helvetica"/>
          <w:sz w:val="20"/>
        </w:rPr>
        <w:t xml:space="preserve"> laikotarpio pabaigoje yra</w:t>
      </w:r>
    </w:p>
    <w:p w14:paraId="48E04260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maždaug 1,4 mg/kg,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atitinka gydymą 0,7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dieną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 ir</w:t>
      </w:r>
    </w:p>
    <w:p w14:paraId="5E5F3478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dozė, pasiekta palaikomojo laikotarpio pabaigoje, yra lygi maždaug 0,7 mg/kg, kur bendra veiksminga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dozė atitinka gydymą 0,35 mg/kg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per dieną 5 dienas,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biologinis įsisavinimas yra lygus maždaug 40 %.</w:t>
      </w:r>
    </w:p>
    <w:p w14:paraId="056CB70A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6B6AD23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12.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 turi būti vartojama </w:t>
      </w:r>
      <w:proofErr w:type="spellStart"/>
      <w:r w:rsidRPr="009D2F35">
        <w:rPr>
          <w:rFonts w:ascii="Helvetica" w:hAnsi="Helvetica"/>
          <w:sz w:val="20"/>
        </w:rPr>
        <w:t>peroraliniu</w:t>
      </w:r>
      <w:proofErr w:type="spellEnd"/>
      <w:r w:rsidRPr="009D2F35">
        <w:rPr>
          <w:rFonts w:ascii="Helvetica" w:hAnsi="Helvetica"/>
          <w:sz w:val="20"/>
        </w:rPr>
        <w:t xml:space="preserve"> būdu dienos doze nuo 3 iki 30 mg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>.</w:t>
      </w:r>
    </w:p>
    <w:p w14:paraId="191CDB87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31E8C49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13.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 yra tabletės formos.</w:t>
      </w:r>
    </w:p>
    <w:p w14:paraId="45F86F83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6DAC7C3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14.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 panaudoti pagal 13 punktą, kur minėtame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farmaciniame preparate yra maždaug 10 mg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>.</w:t>
      </w:r>
    </w:p>
    <w:p w14:paraId="722E6625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9117F44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15.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</w:t>
      </w:r>
    </w:p>
    <w:p w14:paraId="2F4C4E36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indukcinį laikotarpį sudaro minėto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farmacinio preparato vartojimas </w:t>
      </w:r>
      <w:proofErr w:type="spellStart"/>
      <w:r w:rsidRPr="009D2F35">
        <w:rPr>
          <w:rFonts w:ascii="Helvetica" w:hAnsi="Helvetica"/>
          <w:sz w:val="20"/>
        </w:rPr>
        <w:t>peroraliniu</w:t>
      </w:r>
      <w:proofErr w:type="spellEnd"/>
      <w:r w:rsidRPr="009D2F35">
        <w:rPr>
          <w:rFonts w:ascii="Helvetica" w:hAnsi="Helvetica"/>
          <w:sz w:val="20"/>
        </w:rPr>
        <w:t xml:space="preserve"> būdu nuo 1 iki 7 dienų kiekvieną mėnesį, ir (arba)</w:t>
      </w:r>
    </w:p>
    <w:p w14:paraId="1D6146DC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palaikomąjį laikotarpį sudaro minėto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farmacinio preparato vartojimas </w:t>
      </w:r>
      <w:proofErr w:type="spellStart"/>
      <w:r w:rsidRPr="009D2F35">
        <w:rPr>
          <w:rFonts w:ascii="Helvetica" w:hAnsi="Helvetica"/>
          <w:sz w:val="20"/>
        </w:rPr>
        <w:t>peroraliniu</w:t>
      </w:r>
      <w:proofErr w:type="spellEnd"/>
      <w:r w:rsidRPr="009D2F35">
        <w:rPr>
          <w:rFonts w:ascii="Helvetica" w:hAnsi="Helvetica"/>
          <w:sz w:val="20"/>
        </w:rPr>
        <w:t xml:space="preserve"> būdu nuo 1 iki 7 dienų kiekvieną mėnesį.</w:t>
      </w:r>
    </w:p>
    <w:p w14:paraId="37E82636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00EB99C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16.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(iii)–(iv) pakopos yra kartojamos trumpiausiai vieną arba du kartus.</w:t>
      </w:r>
    </w:p>
    <w:p w14:paraId="2FF38744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C98FD44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17.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minėta išsėtinė sklerozė yra </w:t>
      </w:r>
      <w:proofErr w:type="spellStart"/>
      <w:r w:rsidRPr="009D2F35">
        <w:rPr>
          <w:rFonts w:ascii="Helvetica" w:hAnsi="Helvetica"/>
          <w:sz w:val="20"/>
        </w:rPr>
        <w:t>recidyvuojanti-remituojanti</w:t>
      </w:r>
      <w:proofErr w:type="spellEnd"/>
      <w:r w:rsidRPr="009D2F35">
        <w:rPr>
          <w:rFonts w:ascii="Helvetica" w:hAnsi="Helvetica"/>
          <w:sz w:val="20"/>
        </w:rPr>
        <w:t xml:space="preserve"> išsėtinė sklerozė (RRMS).</w:t>
      </w:r>
    </w:p>
    <w:p w14:paraId="0438F113" w14:textId="77777777" w:rsidR="009D2F35" w:rsidRPr="009D2F35" w:rsidRDefault="009D2F35" w:rsidP="009D2F35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7851170" w14:textId="77777777" w:rsidR="009D2F35" w:rsidRPr="009D2F35" w:rsidRDefault="009D2F35" w:rsidP="009D2F35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D2F35">
        <w:rPr>
          <w:rFonts w:ascii="Helvetica" w:hAnsi="Helvetica"/>
          <w:sz w:val="20"/>
        </w:rPr>
        <w:t xml:space="preserve">18. </w:t>
      </w:r>
      <w:proofErr w:type="spellStart"/>
      <w:r w:rsidRPr="009D2F35">
        <w:rPr>
          <w:rFonts w:ascii="Helvetica" w:hAnsi="Helvetica"/>
          <w:sz w:val="20"/>
        </w:rPr>
        <w:t>Kladribino</w:t>
      </w:r>
      <w:proofErr w:type="spellEnd"/>
      <w:r w:rsidRPr="009D2F35">
        <w:rPr>
          <w:rFonts w:ascii="Helvetica" w:hAnsi="Helvetica"/>
          <w:sz w:val="20"/>
        </w:rPr>
        <w:t xml:space="preserve"> farmacinis preparatas, skirtas panaudoti pagal bet kurį iš ankstesnių punktų, kur </w:t>
      </w:r>
      <w:proofErr w:type="spellStart"/>
      <w:r w:rsidRPr="009D2F35">
        <w:rPr>
          <w:rFonts w:ascii="Helvetica" w:hAnsi="Helvetica"/>
          <w:sz w:val="20"/>
        </w:rPr>
        <w:t>kladribinas</w:t>
      </w:r>
      <w:proofErr w:type="spellEnd"/>
      <w:r w:rsidRPr="009D2F35">
        <w:rPr>
          <w:rFonts w:ascii="Helvetica" w:hAnsi="Helvetica"/>
          <w:sz w:val="20"/>
        </w:rPr>
        <w:t xml:space="preserve"> turi būti vartojamas kartu su interferonu-beta.</w:t>
      </w:r>
    </w:p>
    <w:sectPr w:rsidR="009D2F35" w:rsidRPr="009D2F35" w:rsidSect="009D2F3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4CBE" w14:textId="77777777" w:rsidR="009D2F35" w:rsidRDefault="009D2F35" w:rsidP="009D2F35">
      <w:pPr>
        <w:spacing w:after="0" w:line="240" w:lineRule="auto"/>
      </w:pPr>
      <w:r>
        <w:separator/>
      </w:r>
    </w:p>
  </w:endnote>
  <w:endnote w:type="continuationSeparator" w:id="0">
    <w:p w14:paraId="6D9BB050" w14:textId="77777777" w:rsidR="009D2F35" w:rsidRDefault="009D2F35" w:rsidP="009D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6BDD" w14:textId="77777777" w:rsidR="009D2F35" w:rsidRDefault="009D2F35" w:rsidP="009D2F35">
      <w:pPr>
        <w:spacing w:after="0" w:line="240" w:lineRule="auto"/>
      </w:pPr>
      <w:r>
        <w:separator/>
      </w:r>
    </w:p>
  </w:footnote>
  <w:footnote w:type="continuationSeparator" w:id="0">
    <w:p w14:paraId="3A324863" w14:textId="77777777" w:rsidR="009D2F35" w:rsidRDefault="009D2F35" w:rsidP="009D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3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D2F35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5725D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F1AD"/>
  <w15:chartTrackingRefBased/>
  <w15:docId w15:val="{9A78D0A8-2F12-47F5-AEFA-717443C6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F3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F3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F3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F3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F3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F3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F3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F3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F3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F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F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F35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F35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F35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F35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F35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F35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2F3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F3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F35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F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F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F35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D2F3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F35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2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F35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4758</Characters>
  <Application>Microsoft Office Word</Application>
  <DocSecurity>0</DocSecurity>
  <Lines>88</Lines>
  <Paragraphs>35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2024-12-30T14:53:00Z</dcterms:created>
  <dcterms:modified xsi:type="dcterms:W3CDTF">2024-12-30T14:55:00Z</dcterms:modified>
</cp:coreProperties>
</file>