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E47F21" w14:textId="02A9F349" w:rsidR="009B36A1" w:rsidRPr="00A20CF6" w:rsidRDefault="009B36A1" w:rsidP="00A20CF6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1.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FcRn</w:t>
      </w:r>
      <w:proofErr w:type="spellEnd"/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antagonistas,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skirtas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naudoti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2D4749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pūslinės</w:t>
      </w:r>
      <w:proofErr w:type="spellEnd"/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gydymui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subjekte,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kuriam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to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reikia,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</w:p>
    <w:p w14:paraId="50EE08C0" w14:textId="1BEBF5F1" w:rsidR="009B36A1" w:rsidRPr="00A20CF6" w:rsidRDefault="002D4749" w:rsidP="00A20CF6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</w:t>
      </w:r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i)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subjekt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as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serga</w:t>
      </w:r>
    </w:p>
    <w:p w14:paraId="56D29FF1" w14:textId="6C83322C" w:rsidR="009B36A1" w:rsidRPr="00A20CF6" w:rsidRDefault="002D4749" w:rsidP="00A20CF6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</w:t>
      </w:r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a)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naujai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diagnozuota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pūsline</w:t>
      </w:r>
      <w:proofErr w:type="spellEnd"/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</w:p>
    <w:p w14:paraId="694EB37F" w14:textId="1E99782F" w:rsidR="009B36A1" w:rsidRPr="00A20CF6" w:rsidRDefault="002D4749" w:rsidP="00A20CF6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</w:t>
      </w:r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b)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recidyvuojan</w:t>
      </w:r>
      <w:r w:rsidR="001A75E8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čia</w:t>
      </w:r>
      <w:proofErr w:type="spellEnd"/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pūsline</w:t>
      </w:r>
      <w:proofErr w:type="spellEnd"/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</w:p>
    <w:p w14:paraId="0B48EBE7" w14:textId="4F1FD62D" w:rsidR="009B36A1" w:rsidRPr="00A20CF6" w:rsidRDefault="002D4749" w:rsidP="00A20CF6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</w:t>
      </w:r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c)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atspar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ia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gydymui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pūsline</w:t>
      </w:r>
      <w:proofErr w:type="spellEnd"/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</w:p>
    <w:p w14:paraId="078EAB74" w14:textId="44F00D47" w:rsidR="009B36A1" w:rsidRPr="00A20CF6" w:rsidRDefault="009B36A1" w:rsidP="00A20CF6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(ii)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FcRn</w:t>
      </w:r>
      <w:proofErr w:type="spellEnd"/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antagonistas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susideda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Fc</w:t>
      </w:r>
      <w:proofErr w:type="spellEnd"/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srities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varianto,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minėtas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Fc</w:t>
      </w:r>
      <w:proofErr w:type="spellEnd"/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2D4749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srities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2D4749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variantas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susideda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dviejų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Fc</w:t>
      </w:r>
      <w:proofErr w:type="spellEnd"/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domenų,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kurie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sudaro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homodimerą</w:t>
      </w:r>
      <w:proofErr w:type="spellEnd"/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kiekvieno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Fc</w:t>
      </w:r>
      <w:proofErr w:type="spellEnd"/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domeno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aminorūgščių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seka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parinkta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grupės,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susidedančios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SEQ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ID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Nr.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1,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SEQ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ID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Nr.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SEQ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ID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Nr.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3</w:t>
      </w:r>
      <w:r w:rsidR="002D4749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</w:p>
    <w:p w14:paraId="07542CE7" w14:textId="28281F3B" w:rsidR="009B36A1" w:rsidRPr="00A20CF6" w:rsidRDefault="009B36A1" w:rsidP="00A20CF6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(iii)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FcRn</w:t>
      </w:r>
      <w:proofErr w:type="spellEnd"/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antagonistas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skiriamas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kartu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kortikosteroidu,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kortikosteroido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dozė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≤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0,5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mg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prednizono/kg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per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parą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lygiavertė.</w:t>
      </w:r>
    </w:p>
    <w:p w14:paraId="1792CF4C" w14:textId="77777777" w:rsidR="009D4462" w:rsidRPr="00A20CF6" w:rsidRDefault="009D4462" w:rsidP="00A20CF6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076E90FB" w14:textId="6919741C" w:rsidR="00A20CF6" w:rsidRPr="00A20CF6" w:rsidRDefault="009B36A1" w:rsidP="00A20CF6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2.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FcRn</w:t>
      </w:r>
      <w:proofErr w:type="spellEnd"/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antagonistas,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skirtas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naudoti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punktą,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2D4749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pūslinė</w:t>
      </w:r>
      <w:proofErr w:type="spellEnd"/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A75E8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paprastąją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1A75E8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pūslinę</w:t>
      </w:r>
      <w:proofErr w:type="spellEnd"/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(P</w:t>
      </w:r>
      <w:r w:rsidR="001A75E8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),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251E39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lakštinę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251E39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pūslinę</w:t>
      </w:r>
      <w:proofErr w:type="spellEnd"/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(P</w:t>
      </w:r>
      <w:r w:rsidR="00251E39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)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251E39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tiek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</w:t>
      </w:r>
      <w:r w:rsidR="00251E39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P,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251E39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tiek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</w:t>
      </w:r>
      <w:r w:rsidR="00251E39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A20CF6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 (arba)</w:t>
      </w:r>
    </w:p>
    <w:p w14:paraId="2A9C2F48" w14:textId="1064D5E6" w:rsidR="00A85C38" w:rsidRPr="00A20CF6" w:rsidRDefault="009B36A1" w:rsidP="00A20CF6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subjektas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251E39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serga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lengv</w:t>
      </w:r>
      <w:r w:rsidR="00385C6D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os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vidutinio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sunkumo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sunk</w:t>
      </w:r>
      <w:r w:rsidR="00251E39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ios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251E39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formos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2D4749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pūslin</w:t>
      </w:r>
      <w:r w:rsidR="00251E39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</w:t>
      </w:r>
      <w:proofErr w:type="spellEnd"/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klasifikuojam</w:t>
      </w:r>
      <w:r w:rsidR="00251E39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385C6D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</w:t>
      </w:r>
      <w:r w:rsidR="002D4749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ūslinės</w:t>
      </w:r>
      <w:proofErr w:type="spellEnd"/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lig</w:t>
      </w:r>
      <w:r w:rsidR="00385C6D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os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85C6D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ploto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indeksą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(P</w:t>
      </w:r>
      <w:r w:rsidR="00251E39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</w:t>
      </w:r>
      <w:r w:rsidR="00385C6D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I).</w:t>
      </w:r>
    </w:p>
    <w:p w14:paraId="3B57E831" w14:textId="1FD2CC52" w:rsidR="009B36A1" w:rsidRPr="00A20CF6" w:rsidRDefault="009B36A1" w:rsidP="00A20CF6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45A33E3A" w14:textId="2B7AE096" w:rsidR="00A85C38" w:rsidRPr="00A20CF6" w:rsidRDefault="009B36A1" w:rsidP="00A20CF6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3.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FcRn</w:t>
      </w:r>
      <w:proofErr w:type="spellEnd"/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antagonistas,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skirtas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naudoti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punktą,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FcRn</w:t>
      </w:r>
      <w:proofErr w:type="spellEnd"/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antagonistas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skiriamas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kartą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per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savaitę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kas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dvi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savaites,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kol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85C6D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pasiekiama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ligos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kontrolė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visiška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remisija.</w:t>
      </w:r>
    </w:p>
    <w:p w14:paraId="36736DCD" w14:textId="74F5179D" w:rsidR="009B36A1" w:rsidRPr="00A20CF6" w:rsidRDefault="009B36A1" w:rsidP="00A20CF6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05482EB0" w14:textId="477C5FF8" w:rsidR="009B36A1" w:rsidRPr="00A20CF6" w:rsidRDefault="009B36A1" w:rsidP="00A20CF6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4.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FcRn</w:t>
      </w:r>
      <w:proofErr w:type="spellEnd"/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antagonistas,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skirtas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naudoti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bet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kurį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1-3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punktų,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FcRn</w:t>
      </w:r>
      <w:proofErr w:type="spellEnd"/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antagonistas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įvedamas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į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veną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nuo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10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mg/kg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iki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30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mg/kg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63404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doze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kartą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per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savaitę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kas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dvi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savaites.</w:t>
      </w:r>
    </w:p>
    <w:p w14:paraId="3D33C7EA" w14:textId="3179C90E" w:rsidR="009B36A1" w:rsidRPr="00A20CF6" w:rsidRDefault="009B36A1" w:rsidP="00A20CF6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pasirinktinai,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FcRn</w:t>
      </w:r>
      <w:proofErr w:type="spellEnd"/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antagonistas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392330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įvedamas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į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veną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10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mg/kg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doze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kartą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per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savaitę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kas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dvi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savaites,</w:t>
      </w:r>
    </w:p>
    <w:p w14:paraId="06893BC5" w14:textId="5BA924AE" w:rsidR="009B36A1" w:rsidRPr="00A20CF6" w:rsidRDefault="009B36A1" w:rsidP="00A20CF6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pasirinktinai,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FcRn</w:t>
      </w:r>
      <w:proofErr w:type="spellEnd"/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antagonistas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įvedamas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į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veną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25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mg/kg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doze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kartą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per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savaitę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kas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dvi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savaites.</w:t>
      </w:r>
    </w:p>
    <w:p w14:paraId="5530F58B" w14:textId="77777777" w:rsidR="00A20CF6" w:rsidRPr="00A20CF6" w:rsidRDefault="00A20CF6" w:rsidP="00A20CF6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35F2B69E" w14:textId="7997DA38" w:rsidR="009B36A1" w:rsidRPr="00A20CF6" w:rsidRDefault="009B36A1" w:rsidP="00A20CF6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5.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FcRn</w:t>
      </w:r>
      <w:proofErr w:type="spellEnd"/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antagonistas,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skirtas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naudoti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bet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kurį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1-3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punktų,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FcRn</w:t>
      </w:r>
      <w:proofErr w:type="spellEnd"/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antagonistas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įvedamas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oda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A1323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pastovia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63404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nuo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750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63404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iki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3000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mg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doze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kartą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per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savaitę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kas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dvi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savaites.</w:t>
      </w:r>
    </w:p>
    <w:p w14:paraId="3B5490DC" w14:textId="0A677777" w:rsidR="009B36A1" w:rsidRPr="00A20CF6" w:rsidRDefault="009B36A1" w:rsidP="00A20CF6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pasirinktinai,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FcRn</w:t>
      </w:r>
      <w:proofErr w:type="spellEnd"/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antagonistas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skiriamas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oda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A1323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pastovia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1000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mg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2000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mg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doze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kartą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per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savaitę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kas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dvi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savaites,</w:t>
      </w:r>
    </w:p>
    <w:p w14:paraId="36460A02" w14:textId="3C1F901E" w:rsidR="009B36A1" w:rsidRPr="00A20CF6" w:rsidRDefault="009B36A1" w:rsidP="00A20CF6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pasirinktinai</w:t>
      </w:r>
      <w:r w:rsidR="00392330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FcRn</w:t>
      </w:r>
      <w:proofErr w:type="spellEnd"/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antagonistas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pirmą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kartą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įvedamas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oda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A1323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pastovia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maždaug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1000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mg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doze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du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kartus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tą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pačią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E35A8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par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ą.</w:t>
      </w:r>
    </w:p>
    <w:p w14:paraId="7D00E523" w14:textId="77777777" w:rsidR="00A20CF6" w:rsidRPr="00A20CF6" w:rsidRDefault="00A20CF6" w:rsidP="00A20CF6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528354A3" w14:textId="5921B3F0" w:rsidR="00A85C38" w:rsidRPr="00A20CF6" w:rsidRDefault="009B36A1" w:rsidP="00A20CF6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6.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FcRn</w:t>
      </w:r>
      <w:proofErr w:type="spellEnd"/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antagonistas,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skirtas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naudoti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5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punktą,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FcRn</w:t>
      </w:r>
      <w:proofErr w:type="spellEnd"/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antagonistas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A1323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paruoš</w:t>
      </w:r>
      <w:r w:rsidR="004B6493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</w:t>
      </w:r>
      <w:r w:rsidR="001A1323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as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A1323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vartoti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kartu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hialuronidaze</w:t>
      </w:r>
      <w:proofErr w:type="spellEnd"/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įvedamas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oda.</w:t>
      </w:r>
    </w:p>
    <w:p w14:paraId="2C1DE6A4" w14:textId="5248A8F7" w:rsidR="009B36A1" w:rsidRPr="00A20CF6" w:rsidRDefault="009B36A1" w:rsidP="00A20CF6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5EA0F9B3" w14:textId="343A676D" w:rsidR="00A85C38" w:rsidRPr="00A20CF6" w:rsidRDefault="009B36A1" w:rsidP="00A20CF6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7.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FcRn</w:t>
      </w:r>
      <w:proofErr w:type="spellEnd"/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antagonistas,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skirtas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naudoti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bet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kurį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1-6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punktų,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papildomai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apimantis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mažėjančios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kortikosteroid</w:t>
      </w:r>
      <w:r w:rsidR="0093605F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ų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dozės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skyrimą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to,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kai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buvo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pasiekta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ligos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kontrolė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visiška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remisija.</w:t>
      </w:r>
    </w:p>
    <w:p w14:paraId="1225EC23" w14:textId="4886F2E8" w:rsidR="009B36A1" w:rsidRPr="00A20CF6" w:rsidRDefault="009B36A1" w:rsidP="00A20CF6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3D7DE359" w14:textId="58BCDA2D" w:rsidR="00A85C38" w:rsidRPr="00A20CF6" w:rsidRDefault="009B36A1" w:rsidP="00A20CF6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8.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FcRn</w:t>
      </w:r>
      <w:proofErr w:type="spellEnd"/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antagonistas,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skirtas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naudoti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bet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kurį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1-7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punktų,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mažėjanti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kortikosteroid</w:t>
      </w:r>
      <w:r w:rsidR="0093605F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ų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dozė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prasideda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nuo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≤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0,5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mg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prednizono/kg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per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8D2EA4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par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ą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lygiaver</w:t>
      </w:r>
      <w:r w:rsidR="008D2EA4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tė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mažėjanti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kortikosteroid</w:t>
      </w:r>
      <w:r w:rsidR="0093605F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ų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dozė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prasideda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nuo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10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mg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prednizono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8D2EA4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per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8D2EA4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parą</w:t>
      </w:r>
      <w:r w:rsidR="00A20CF6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lygiavert</w:t>
      </w:r>
      <w:r w:rsidR="008D2EA4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ė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p w14:paraId="53E0A3ED" w14:textId="7C218CB0" w:rsidR="009B36A1" w:rsidRPr="00A20CF6" w:rsidRDefault="009B36A1" w:rsidP="00A20CF6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30491A87" w14:textId="0B131C0B" w:rsidR="00A85C38" w:rsidRPr="00A20CF6" w:rsidRDefault="009B36A1" w:rsidP="00A20CF6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lastRenderedPageBreak/>
        <w:t>9.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FcRn</w:t>
      </w:r>
      <w:proofErr w:type="spellEnd"/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antagonistas,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skirtas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naudoti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bet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kurį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1-8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punktų,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kortikosteroidų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3605F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dozės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mažinimas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pradedamas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maždaug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3605F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mėnes</w:t>
      </w:r>
      <w:r w:rsidR="0093605F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io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</w:t>
      </w:r>
      <w:r w:rsidR="0093605F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maždaug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3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savai</w:t>
      </w:r>
      <w:r w:rsidR="0093605F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čių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</w:t>
      </w:r>
      <w:r w:rsidR="0093605F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maždaug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savai</w:t>
      </w:r>
      <w:r w:rsidR="0093605F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čių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</w:t>
      </w:r>
      <w:r w:rsidR="004B6493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maždaug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savait</w:t>
      </w:r>
      <w:r w:rsidR="0093605F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ės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nuo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pradinės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FcRn</w:t>
      </w:r>
      <w:proofErr w:type="spellEnd"/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antagonist</w:t>
      </w:r>
      <w:r w:rsidR="0063404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ų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dozės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skyrimo.</w:t>
      </w:r>
    </w:p>
    <w:p w14:paraId="3E69018C" w14:textId="77777777" w:rsidR="0093605F" w:rsidRPr="00A20CF6" w:rsidRDefault="0093605F" w:rsidP="00A20CF6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448F594E" w14:textId="77A69B66" w:rsidR="00A85C38" w:rsidRPr="00A20CF6" w:rsidRDefault="009B36A1" w:rsidP="00A20CF6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10.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FcRn</w:t>
      </w:r>
      <w:proofErr w:type="spellEnd"/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antagonistas,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skirtas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naudoti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bet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kurį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1-9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punktų,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pradinės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vėlesnės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mažėjančios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dozės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4B6493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mažinimas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gali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vykti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kas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mėnesį,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kas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3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savaites,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kas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savaites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kas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savaitę.</w:t>
      </w:r>
    </w:p>
    <w:p w14:paraId="79B7D353" w14:textId="2E1F370C" w:rsidR="009B36A1" w:rsidRPr="00A20CF6" w:rsidRDefault="009B36A1" w:rsidP="00A20CF6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2393B224" w14:textId="405C9326" w:rsidR="00A85C38" w:rsidRPr="00A20CF6" w:rsidRDefault="009B36A1" w:rsidP="00A20CF6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11.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FcRn</w:t>
      </w:r>
      <w:proofErr w:type="spellEnd"/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antagonistas,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skirtas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naudoti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bet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kurį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1-10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punktų,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kortikosteroidų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mažinimas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sumažinimą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881265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iki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maždaug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0,5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mg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prednizono/kg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per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881265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par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ą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lygiaver</w:t>
      </w:r>
      <w:r w:rsidR="00881265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tės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881265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dozės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881265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iki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881265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maždaug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0,25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mg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prednizono/kg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per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881265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par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ą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lygiaver</w:t>
      </w:r>
      <w:r w:rsidR="00881265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tės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881265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dozės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881265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iki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maždaug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0,1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mg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prednizono/kg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per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parą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lygiavert</w:t>
      </w:r>
      <w:r w:rsidR="00881265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ės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881265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dozės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p w14:paraId="63EC1871" w14:textId="77777777" w:rsidR="00A20CF6" w:rsidRPr="00A20CF6" w:rsidRDefault="00A20CF6" w:rsidP="00A20CF6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0CCC86BF" w14:textId="5BC54518" w:rsidR="00A85C38" w:rsidRPr="00A20CF6" w:rsidRDefault="009B36A1" w:rsidP="00A20CF6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12.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FcRn</w:t>
      </w:r>
      <w:proofErr w:type="spellEnd"/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antagonistas,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skirtas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naudoti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bet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kurį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1-11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punktų,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kortikosteroida</w:t>
      </w:r>
      <w:r w:rsidR="0063404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sistemini</w:t>
      </w:r>
      <w:r w:rsidR="00881265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881265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poveikio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kortikosteroida</w:t>
      </w:r>
      <w:r w:rsidR="0063404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p w14:paraId="6B64FA39" w14:textId="7372A48E" w:rsidR="009B36A1" w:rsidRPr="00A20CF6" w:rsidRDefault="009B36A1" w:rsidP="00A20CF6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1BE0460F" w14:textId="5EF5EBF9" w:rsidR="009B36A1" w:rsidRPr="00A20CF6" w:rsidRDefault="009B36A1" w:rsidP="00A20CF6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13.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FcRn</w:t>
      </w:r>
      <w:proofErr w:type="spellEnd"/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antagonistas,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skirtas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naudoti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bet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kurį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1-12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punktų,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FcRn</w:t>
      </w:r>
      <w:proofErr w:type="spellEnd"/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antagonistas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skiriamas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indukcijos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fazėje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konsolidavimo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fazėje,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FD7F18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:</w:t>
      </w:r>
    </w:p>
    <w:p w14:paraId="05EC6FEA" w14:textId="1ADB6F84" w:rsidR="009B36A1" w:rsidRPr="00A20CF6" w:rsidRDefault="004F39E3" w:rsidP="00A20CF6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</w:t>
      </w:r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i)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indukcijos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fazės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metu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FcRn</w:t>
      </w:r>
      <w:proofErr w:type="spellEnd"/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antagonistas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skiriamas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kartą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per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savaitę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du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kartus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per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savaitę,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kortikosteroid</w:t>
      </w:r>
      <w:r w:rsidR="0063404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ų</w:t>
      </w:r>
      <w:r w:rsidR="00A20CF6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dozė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≤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0,5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mg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prednizono/kg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per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parą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lygiavertė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dozė,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kol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D7F18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pasiekiama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lig</w:t>
      </w:r>
      <w:r w:rsidR="00FD7F18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os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kontrol</w:t>
      </w:r>
      <w:r w:rsidR="00FD7F18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ė</w:t>
      </w:r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</w:p>
    <w:p w14:paraId="5A8E1BE7" w14:textId="30B10067" w:rsidR="009B36A1" w:rsidRPr="00A20CF6" w:rsidRDefault="004F39E3" w:rsidP="00A20CF6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</w:t>
      </w:r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ii)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konsolidavimo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fazės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metu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FcRn</w:t>
      </w:r>
      <w:proofErr w:type="spellEnd"/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antagonisto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dozė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sumažinama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FcRn</w:t>
      </w:r>
      <w:proofErr w:type="spellEnd"/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antagonisto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dozavimo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intervalas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pailginamas</w:t>
      </w:r>
      <w:r w:rsidR="00A20CF6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ir (arba) </w:t>
      </w:r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kortikosteroidų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dozė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sumažinama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kortikosteroidų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dozavimo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intervalas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pailginamas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iki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konsolida</w:t>
      </w:r>
      <w:r w:rsidR="00FD7F18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vimo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pabaigos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dozės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dozavimo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intervalo</w:t>
      </w:r>
      <w:r w:rsidR="00FD7F18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D7F18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kuris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D7F18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8025C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veiksmingas</w:t>
      </w:r>
      <w:r w:rsidR="00A20CF6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naujų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pažeidimų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8025C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atsiradimo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8025C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prevencijai</w:t>
      </w:r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p w14:paraId="12E99F18" w14:textId="77777777" w:rsidR="00A20CF6" w:rsidRPr="00A20CF6" w:rsidRDefault="00A20CF6" w:rsidP="00A20CF6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6E8021BC" w14:textId="101FBEF2" w:rsidR="00A85C38" w:rsidRPr="00A20CF6" w:rsidRDefault="009B36A1" w:rsidP="00A20CF6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14.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FcRn</w:t>
      </w:r>
      <w:proofErr w:type="spellEnd"/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antagonistas,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skirtas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naudoti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13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punktą,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papildomai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apimantis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palaik</w:t>
      </w:r>
      <w:r w:rsidR="0098025C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omąją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fazę,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</w:p>
    <w:p w14:paraId="6B557A97" w14:textId="0B2CE8B1" w:rsidR="00A85C38" w:rsidRPr="00A20CF6" w:rsidRDefault="0098025C" w:rsidP="00A20CF6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</w:t>
      </w:r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iii)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palaikomosios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fazės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metu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FcRn</w:t>
      </w:r>
      <w:proofErr w:type="spellEnd"/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antagonisto</w:t>
      </w:r>
      <w:r w:rsidR="00A20CF6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ir (arba) </w:t>
      </w:r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prednizono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lygiaverčio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preparato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konsolidavimo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pabaigos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dozė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dozavimo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intervalas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tęsiamas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tol,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kol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pažeidimai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visiškai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išnyksta</w:t>
      </w:r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p w14:paraId="3279F0C9" w14:textId="2CECF7FF" w:rsidR="009B36A1" w:rsidRPr="00A20CF6" w:rsidRDefault="009B36A1" w:rsidP="00A20CF6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0B170CFD" w14:textId="63F87B61" w:rsidR="009B36A1" w:rsidRPr="00A20CF6" w:rsidRDefault="009B36A1" w:rsidP="00A20CF6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15.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FcRn</w:t>
      </w:r>
      <w:proofErr w:type="spellEnd"/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antagonistas,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skirtas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naudoti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13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14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punktą,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indukcijos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fazės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metu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FcRn</w:t>
      </w:r>
      <w:proofErr w:type="spellEnd"/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antagonistas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yra:</w:t>
      </w:r>
    </w:p>
    <w:p w14:paraId="0E5A01B5" w14:textId="7FB5D72B" w:rsidR="009B36A1" w:rsidRPr="00A20CF6" w:rsidRDefault="00BE35A8" w:rsidP="00A20CF6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</w:t>
      </w:r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i)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įvedamas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į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veną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nuo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10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mg/kg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iki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30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mg/kg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doz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</w:t>
      </w:r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</w:p>
    <w:p w14:paraId="2E002E48" w14:textId="262B48C1" w:rsidR="009B36A1" w:rsidRPr="00A20CF6" w:rsidRDefault="00BE35A8" w:rsidP="00A20CF6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</w:t>
      </w:r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ii)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įvedamas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į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veną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10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mg/kg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doze,</w:t>
      </w:r>
    </w:p>
    <w:p w14:paraId="57FC5C77" w14:textId="6F0FCA38" w:rsidR="009B36A1" w:rsidRPr="00A20CF6" w:rsidRDefault="00BE35A8" w:rsidP="00A20CF6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</w:t>
      </w:r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iii)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įvedamas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į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veną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25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mg/kg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doze,</w:t>
      </w:r>
    </w:p>
    <w:p w14:paraId="0774390B" w14:textId="553D8616" w:rsidR="009B36A1" w:rsidRPr="00A20CF6" w:rsidRDefault="00BE35A8" w:rsidP="00A20CF6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</w:t>
      </w:r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iv)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įvedama</w:t>
      </w:r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oda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A1323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pastovia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63404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nuo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750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63404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iki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3000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mg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doze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</w:p>
    <w:p w14:paraId="10BD1F7C" w14:textId="5F0DFA21" w:rsidR="009B36A1" w:rsidRPr="00A20CF6" w:rsidRDefault="009B36A1" w:rsidP="00A20CF6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(v)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pirmą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kartą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E35A8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įvedamas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oda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1A1323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pastovia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maždaug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1000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mg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doze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du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kartus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E35A8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per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tą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pačią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E35A8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par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ą.</w:t>
      </w:r>
    </w:p>
    <w:p w14:paraId="320A54DC" w14:textId="77777777" w:rsidR="00A20CF6" w:rsidRDefault="00A20CF6" w:rsidP="00A20CF6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7FAB240E" w14:textId="0AF3477E" w:rsidR="009B36A1" w:rsidRPr="00A20CF6" w:rsidRDefault="009B36A1" w:rsidP="00A20CF6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16.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FcRn</w:t>
      </w:r>
      <w:proofErr w:type="spellEnd"/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antagonistas,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skirtas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naudoti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bet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kurį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1-15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punktų,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subjektas:</w:t>
      </w:r>
    </w:p>
    <w:p w14:paraId="639329FD" w14:textId="0718A7C8" w:rsidR="009B36A1" w:rsidRPr="00A20CF6" w:rsidRDefault="00BE35A8" w:rsidP="00A20CF6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</w:t>
      </w:r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i)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serga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gydymui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atspar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ia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2D4749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pūslin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</w:t>
      </w:r>
      <w:proofErr w:type="spellEnd"/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</w:p>
    <w:p w14:paraId="1FBEC752" w14:textId="2A32DAC5" w:rsidR="009B36A1" w:rsidRPr="00A20CF6" w:rsidRDefault="00BE35A8" w:rsidP="00A20CF6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</w:t>
      </w:r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ii)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serga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naujai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diagnozuot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bookmarkStart w:id="0" w:name="_Hlk178897915"/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paprast</w:t>
      </w:r>
      <w:r w:rsidR="0063404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ą</w:t>
      </w:r>
      <w:r w:rsidR="00BE79B4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ja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</w:t>
      </w:r>
      <w:r w:rsidR="00BE79B4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ūsline</w:t>
      </w:r>
      <w:bookmarkEnd w:id="0"/>
      <w:proofErr w:type="spellEnd"/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BE50DE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</w:t>
      </w:r>
      <w:r w:rsidR="002D4749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ūslinės</w:t>
      </w:r>
      <w:proofErr w:type="spellEnd"/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ligos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E79B4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ploto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indekso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(P</w:t>
      </w:r>
      <w:r w:rsidR="00BE50DE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LP</w:t>
      </w:r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I)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balas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≥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15,</w:t>
      </w:r>
    </w:p>
    <w:p w14:paraId="74F16AA7" w14:textId="695B7CB0" w:rsidR="009B36A1" w:rsidRPr="00A20CF6" w:rsidRDefault="00BE79B4" w:rsidP="00A20CF6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</w:t>
      </w:r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iii)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serga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recidyvuojančia</w:t>
      </w:r>
      <w:proofErr w:type="spellEnd"/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paprast</w:t>
      </w:r>
      <w:r w:rsidR="0063404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ą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ja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pūsline</w:t>
      </w:r>
      <w:proofErr w:type="spellEnd"/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</w:p>
    <w:p w14:paraId="6C958F03" w14:textId="1A4DB979" w:rsidR="009B36A1" w:rsidRPr="00A20CF6" w:rsidRDefault="00BE79B4" w:rsidP="00A20CF6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</w:t>
      </w:r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iv)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serga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naujai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diagnozuot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lakštine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2D4749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pūslin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</w:t>
      </w:r>
      <w:proofErr w:type="spellEnd"/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BE50DE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</w:t>
      </w:r>
      <w:r w:rsidR="002D4749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ūslinės</w:t>
      </w:r>
      <w:proofErr w:type="spellEnd"/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ligos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ploto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indekso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(P</w:t>
      </w:r>
      <w:r w:rsidR="00BE50DE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LP</w:t>
      </w:r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I)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balas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≥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15,</w:t>
      </w:r>
    </w:p>
    <w:p w14:paraId="409C5A27" w14:textId="48CCA8C7" w:rsidR="009B36A1" w:rsidRPr="00A20CF6" w:rsidRDefault="00BE79B4" w:rsidP="00A20CF6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</w:t>
      </w:r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v)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serga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recidyvuojan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čia</w:t>
      </w:r>
      <w:proofErr w:type="spellEnd"/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lakštine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ūsline</w:t>
      </w:r>
      <w:proofErr w:type="spellEnd"/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</w:p>
    <w:p w14:paraId="493B71F2" w14:textId="51BDB1B4" w:rsidR="009B36A1" w:rsidRPr="00A20CF6" w:rsidRDefault="009B36A1" w:rsidP="00A20CF6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(vi)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atspar</w:t>
      </w:r>
      <w:r w:rsidR="00BE79B4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us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E79B4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gydymui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rituksimabu</w:t>
      </w:r>
      <w:proofErr w:type="spellEnd"/>
      <w:r w:rsidR="00A20CF6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 (arba)</w:t>
      </w:r>
    </w:p>
    <w:p w14:paraId="088F1A59" w14:textId="046913B5" w:rsidR="009B36A1" w:rsidRPr="00A20CF6" w:rsidRDefault="009B36A1" w:rsidP="00A20CF6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lastRenderedPageBreak/>
        <w:t>(vii)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netoleruoja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kortikosteroidų.</w:t>
      </w:r>
    </w:p>
    <w:p w14:paraId="09E10355" w14:textId="77777777" w:rsidR="00A20CF6" w:rsidRPr="00A20CF6" w:rsidRDefault="00A20CF6" w:rsidP="00A20CF6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737F0A1A" w14:textId="10C88C44" w:rsidR="00A85C38" w:rsidRPr="00A20CF6" w:rsidRDefault="009B36A1" w:rsidP="00A20CF6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17.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FcRn</w:t>
      </w:r>
      <w:proofErr w:type="spellEnd"/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antagonistas,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skirtas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naudoti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bet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kurį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1-16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punktų,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papildomai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apimantis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ląsteles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ardančio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agento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skyrimą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subjektui;</w:t>
      </w:r>
    </w:p>
    <w:p w14:paraId="405E9B46" w14:textId="4C2078C1" w:rsidR="00A85C38" w:rsidRPr="00A20CF6" w:rsidRDefault="00BE50DE" w:rsidP="00A20CF6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</w:t>
      </w:r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asirinktinai</w:t>
      </w:r>
      <w:r w:rsidR="002D0D4B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ląsteles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ardantis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agentas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9D4462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rituksimabas</w:t>
      </w:r>
      <w:proofErr w:type="spellEnd"/>
      <w:r w:rsidR="009B36A1" w:rsidRPr="00A20CF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p w14:paraId="20595CE8" w14:textId="77777777" w:rsidR="00D1404A" w:rsidRPr="00A20CF6" w:rsidRDefault="00D1404A" w:rsidP="00A20CF6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sectPr w:rsidR="00D1404A" w:rsidRPr="00A20CF6" w:rsidSect="00A20CF6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20E651" w14:textId="77777777" w:rsidR="00E114CA" w:rsidRDefault="00E114CA" w:rsidP="00185B42">
      <w:pPr>
        <w:spacing w:after="0" w:line="240" w:lineRule="auto"/>
      </w:pPr>
      <w:r>
        <w:separator/>
      </w:r>
    </w:p>
  </w:endnote>
  <w:endnote w:type="continuationSeparator" w:id="0">
    <w:p w14:paraId="761B3F3B" w14:textId="77777777" w:rsidR="00E114CA" w:rsidRDefault="00E114CA" w:rsidP="00185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5C859C" w14:textId="77777777" w:rsidR="00E114CA" w:rsidRDefault="00E114CA" w:rsidP="00185B42">
      <w:pPr>
        <w:spacing w:after="0" w:line="240" w:lineRule="auto"/>
      </w:pPr>
      <w:r>
        <w:separator/>
      </w:r>
    </w:p>
  </w:footnote>
  <w:footnote w:type="continuationSeparator" w:id="0">
    <w:p w14:paraId="6A027802" w14:textId="77777777" w:rsidR="00E114CA" w:rsidRDefault="00E114CA" w:rsidP="00185B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6A1"/>
    <w:rsid w:val="00185B42"/>
    <w:rsid w:val="001A1323"/>
    <w:rsid w:val="001A6E79"/>
    <w:rsid w:val="001A75E8"/>
    <w:rsid w:val="00251E39"/>
    <w:rsid w:val="002D0D4B"/>
    <w:rsid w:val="002D4749"/>
    <w:rsid w:val="0034471B"/>
    <w:rsid w:val="00385C6D"/>
    <w:rsid w:val="00392330"/>
    <w:rsid w:val="003C2DF1"/>
    <w:rsid w:val="00441ED6"/>
    <w:rsid w:val="004B6493"/>
    <w:rsid w:val="004B7CB6"/>
    <w:rsid w:val="004F39E3"/>
    <w:rsid w:val="00634042"/>
    <w:rsid w:val="00881265"/>
    <w:rsid w:val="008D2EA4"/>
    <w:rsid w:val="0093605F"/>
    <w:rsid w:val="0098025C"/>
    <w:rsid w:val="009B36A1"/>
    <w:rsid w:val="009D4462"/>
    <w:rsid w:val="00A20CF6"/>
    <w:rsid w:val="00A85C38"/>
    <w:rsid w:val="00BE35A8"/>
    <w:rsid w:val="00BE50DE"/>
    <w:rsid w:val="00BE79B4"/>
    <w:rsid w:val="00C93A28"/>
    <w:rsid w:val="00D07496"/>
    <w:rsid w:val="00D1404A"/>
    <w:rsid w:val="00D25781"/>
    <w:rsid w:val="00E114CA"/>
    <w:rsid w:val="00FD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3CF586"/>
  <w15:chartTrackingRefBased/>
  <w15:docId w15:val="{AC4DD3D3-2093-4C1D-A34B-6994BF0F4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185B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85B42"/>
  </w:style>
  <w:style w:type="paragraph" w:styleId="Porat">
    <w:name w:val="footer"/>
    <w:basedOn w:val="prastasis"/>
    <w:link w:val="PoratDiagrama"/>
    <w:uiPriority w:val="99"/>
    <w:unhideWhenUsed/>
    <w:rsid w:val="00185B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85B42"/>
  </w:style>
  <w:style w:type="paragraph" w:styleId="prastasiniatinklio">
    <w:name w:val="Normal (Web)"/>
    <w:basedOn w:val="prastasis"/>
    <w:uiPriority w:val="99"/>
    <w:semiHidden/>
    <w:unhideWhenUsed/>
    <w:rsid w:val="00FD7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7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3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0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1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3</Pages>
  <Words>827</Words>
  <Characters>4737</Characters>
  <Application>Microsoft Office Word</Application>
  <DocSecurity>0</DocSecurity>
  <Lines>98</Lines>
  <Paragraphs>53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Minkute</dc:creator>
  <cp:keywords/>
  <dc:description/>
  <cp:lastModifiedBy>Raimonda Kvietkauskaitė</cp:lastModifiedBy>
  <cp:revision>9</cp:revision>
  <dcterms:created xsi:type="dcterms:W3CDTF">2024-10-03T19:11:00Z</dcterms:created>
  <dcterms:modified xsi:type="dcterms:W3CDTF">2024-10-09T06:28:00Z</dcterms:modified>
</cp:coreProperties>
</file>