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BD7F9" w14:textId="77777777" w:rsidR="00D313EC" w:rsidRPr="00D313EC" w:rsidRDefault="00831DEC" w:rsidP="00D313EC">
      <w:pPr>
        <w:spacing w:after="0" w:line="360" w:lineRule="auto"/>
        <w:ind w:firstLine="567"/>
        <w:jc w:val="both"/>
        <w:rPr>
          <w:rFonts w:ascii="Helvetica" w:hAnsi="Helvetica" w:cs="Helvetica"/>
          <w:sz w:val="20"/>
          <w:szCs w:val="24"/>
        </w:rPr>
      </w:pPr>
      <w:r w:rsidRPr="00D313EC">
        <w:rPr>
          <w:rFonts w:ascii="Helvetica" w:hAnsi="Helvetica" w:cs="Helvetica"/>
          <w:sz w:val="20"/>
          <w:szCs w:val="24"/>
        </w:rPr>
        <w:t xml:space="preserve">1. Sfingozino-1-fosfato (S1P) receptorių moduliatoriaus arba </w:t>
      </w:r>
      <w:proofErr w:type="spellStart"/>
      <w:r w:rsidRPr="00D313EC">
        <w:rPr>
          <w:rFonts w:ascii="Helvetica" w:hAnsi="Helvetica" w:cs="Helvetica"/>
          <w:sz w:val="20"/>
          <w:szCs w:val="24"/>
        </w:rPr>
        <w:t>agonisto</w:t>
      </w:r>
      <w:proofErr w:type="spellEnd"/>
      <w:r w:rsidRPr="00D313EC">
        <w:rPr>
          <w:rFonts w:ascii="Helvetica" w:hAnsi="Helvetica" w:cs="Helvetica"/>
          <w:sz w:val="20"/>
          <w:szCs w:val="24"/>
        </w:rPr>
        <w:t xml:space="preserve">, kuris signalizuoja kaip vieno ar kelių S1P receptorių </w:t>
      </w:r>
      <w:proofErr w:type="spellStart"/>
      <w:r w:rsidRPr="00D313EC">
        <w:rPr>
          <w:rFonts w:ascii="Helvetica" w:hAnsi="Helvetica" w:cs="Helvetica"/>
          <w:sz w:val="20"/>
          <w:szCs w:val="24"/>
        </w:rPr>
        <w:t>agonistas</w:t>
      </w:r>
      <w:proofErr w:type="spellEnd"/>
      <w:r w:rsidRPr="00D313EC">
        <w:rPr>
          <w:rFonts w:ascii="Helvetica" w:hAnsi="Helvetica" w:cs="Helvetica"/>
          <w:sz w:val="20"/>
          <w:szCs w:val="24"/>
        </w:rPr>
        <w:t xml:space="preserve"> ir yra selektyvus S1P1 receptoriui bei sukelia neigiamą </w:t>
      </w:r>
      <w:proofErr w:type="spellStart"/>
      <w:r w:rsidRPr="00D313EC">
        <w:rPr>
          <w:rFonts w:ascii="Helvetica" w:hAnsi="Helvetica" w:cs="Helvetica"/>
          <w:sz w:val="20"/>
          <w:szCs w:val="24"/>
        </w:rPr>
        <w:t>chronotropinį</w:t>
      </w:r>
      <w:proofErr w:type="spellEnd"/>
      <w:r w:rsidRPr="00D313EC">
        <w:rPr>
          <w:rFonts w:ascii="Helvetica" w:hAnsi="Helvetica" w:cs="Helvetica"/>
          <w:sz w:val="20"/>
          <w:szCs w:val="24"/>
        </w:rPr>
        <w:t xml:space="preserve"> poveikį širdies susitraukimų dažniui, naudojimas gaminant vaistą, skirtą gydyti autoimuninę ligą, pasirinktinai, išsėtinę sklerozę, </w:t>
      </w:r>
      <w:proofErr w:type="spellStart"/>
      <w:r w:rsidRPr="00D313EC">
        <w:rPr>
          <w:rFonts w:ascii="Helvetica" w:hAnsi="Helvetica" w:cs="Helvetica"/>
          <w:sz w:val="20"/>
          <w:szCs w:val="24"/>
        </w:rPr>
        <w:t>polimiozitą</w:t>
      </w:r>
      <w:proofErr w:type="spellEnd"/>
      <w:r w:rsidRPr="00D313EC">
        <w:rPr>
          <w:rFonts w:ascii="Helvetica" w:hAnsi="Helvetica" w:cs="Helvetica"/>
          <w:sz w:val="20"/>
          <w:szCs w:val="24"/>
        </w:rPr>
        <w:t xml:space="preserve">, vilkligės nefritą, reumatoidinį artritą, uždegiminę žarnyno ligą ir psoriazę, kai pradiniu gydymo laikotarpiu skiriama mažesnė už standartinę minėto vaisto paros dozė, kuri didinama laipsniškai arba tik vieną kartą, kol pasiekiama standartinė paros dozė, o vėliau gydymas tęsiamas standartine minėto S1P receptorių moduliatoriaus arba </w:t>
      </w:r>
      <w:proofErr w:type="spellStart"/>
      <w:r w:rsidRPr="00D313EC">
        <w:rPr>
          <w:rFonts w:ascii="Helvetica" w:hAnsi="Helvetica" w:cs="Helvetica"/>
          <w:sz w:val="20"/>
          <w:szCs w:val="24"/>
        </w:rPr>
        <w:t>agonisto</w:t>
      </w:r>
      <w:proofErr w:type="spellEnd"/>
      <w:r w:rsidRPr="00D313EC">
        <w:rPr>
          <w:rFonts w:ascii="Helvetica" w:hAnsi="Helvetica" w:cs="Helvetica"/>
          <w:sz w:val="20"/>
          <w:szCs w:val="24"/>
        </w:rPr>
        <w:t xml:space="preserve"> paros doze, kai pradinis gydymo laikotarpis, kurio metu skiriama mažesnė nei standartinė S1P receptorių moduliatoriaus arba </w:t>
      </w:r>
      <w:proofErr w:type="spellStart"/>
      <w:r w:rsidRPr="00D313EC">
        <w:rPr>
          <w:rFonts w:ascii="Helvetica" w:hAnsi="Helvetica" w:cs="Helvetica"/>
          <w:sz w:val="20"/>
          <w:szCs w:val="24"/>
        </w:rPr>
        <w:t>agonisto</w:t>
      </w:r>
      <w:proofErr w:type="spellEnd"/>
      <w:r w:rsidRPr="00D313EC">
        <w:rPr>
          <w:rFonts w:ascii="Helvetica" w:hAnsi="Helvetica" w:cs="Helvetica"/>
          <w:sz w:val="20"/>
          <w:szCs w:val="24"/>
        </w:rPr>
        <w:t xml:space="preserve"> paros dozė, yra 7 dienos, kad tą dieną, kai skiriama standartinė minėto S1P receptorių moduliatoriaus arba </w:t>
      </w:r>
      <w:proofErr w:type="spellStart"/>
      <w:r w:rsidRPr="00D313EC">
        <w:rPr>
          <w:rFonts w:ascii="Helvetica" w:hAnsi="Helvetica" w:cs="Helvetica"/>
          <w:sz w:val="20"/>
          <w:szCs w:val="24"/>
        </w:rPr>
        <w:t>agonisto</w:t>
      </w:r>
      <w:proofErr w:type="spellEnd"/>
      <w:r w:rsidRPr="00D313EC">
        <w:rPr>
          <w:rFonts w:ascii="Helvetica" w:hAnsi="Helvetica" w:cs="Helvetica"/>
          <w:sz w:val="20"/>
          <w:szCs w:val="24"/>
        </w:rPr>
        <w:t xml:space="preserve"> paros dozė, širdies susitraukimų dažnio sumažėjimas apsiribotų maždaug 2 dūžiais per minutę arba mažiau. </w:t>
      </w:r>
    </w:p>
    <w:p w14:paraId="795547F0" w14:textId="77777777" w:rsidR="00D313EC" w:rsidRPr="00D313EC" w:rsidRDefault="00D313EC" w:rsidP="00D313EC">
      <w:pPr>
        <w:spacing w:after="0" w:line="360" w:lineRule="auto"/>
        <w:ind w:firstLine="567"/>
        <w:jc w:val="both"/>
        <w:rPr>
          <w:rFonts w:ascii="Helvetica" w:hAnsi="Helvetica" w:cs="Helvetica"/>
          <w:sz w:val="20"/>
          <w:szCs w:val="24"/>
        </w:rPr>
      </w:pPr>
    </w:p>
    <w:p w14:paraId="657F4661" w14:textId="7026760E" w:rsidR="0018473C" w:rsidRPr="00D313EC" w:rsidRDefault="00831DEC" w:rsidP="00D313EC">
      <w:pPr>
        <w:spacing w:after="0" w:line="360" w:lineRule="auto"/>
        <w:ind w:firstLine="567"/>
        <w:jc w:val="both"/>
        <w:rPr>
          <w:rFonts w:ascii="Helvetica" w:hAnsi="Helvetica" w:cs="Helvetica"/>
          <w:sz w:val="20"/>
          <w:szCs w:val="24"/>
        </w:rPr>
      </w:pPr>
      <w:r w:rsidRPr="00D313EC">
        <w:rPr>
          <w:rFonts w:ascii="Helvetica" w:hAnsi="Helvetica" w:cs="Helvetica"/>
          <w:sz w:val="20"/>
          <w:szCs w:val="24"/>
        </w:rPr>
        <w:t xml:space="preserve">2. Sfingozino-1-fosfato (S1P) receptorių moduliatorius arba </w:t>
      </w:r>
      <w:proofErr w:type="spellStart"/>
      <w:r w:rsidRPr="00D313EC">
        <w:rPr>
          <w:rFonts w:ascii="Helvetica" w:hAnsi="Helvetica" w:cs="Helvetica"/>
          <w:sz w:val="20"/>
          <w:szCs w:val="24"/>
        </w:rPr>
        <w:t>agonistas</w:t>
      </w:r>
      <w:proofErr w:type="spellEnd"/>
      <w:r w:rsidRPr="00D313EC">
        <w:rPr>
          <w:rFonts w:ascii="Helvetica" w:hAnsi="Helvetica" w:cs="Helvetica"/>
          <w:sz w:val="20"/>
          <w:szCs w:val="24"/>
        </w:rPr>
        <w:t xml:space="preserve">, kuris signalizuoja kaip vieno ar kelių S1P receptorių </w:t>
      </w:r>
      <w:proofErr w:type="spellStart"/>
      <w:r w:rsidRPr="00D313EC">
        <w:rPr>
          <w:rFonts w:ascii="Helvetica" w:hAnsi="Helvetica" w:cs="Helvetica"/>
          <w:sz w:val="20"/>
          <w:szCs w:val="24"/>
        </w:rPr>
        <w:t>agonistas</w:t>
      </w:r>
      <w:proofErr w:type="spellEnd"/>
      <w:r w:rsidRPr="00D313EC">
        <w:rPr>
          <w:rFonts w:ascii="Helvetica" w:hAnsi="Helvetica" w:cs="Helvetica"/>
          <w:sz w:val="20"/>
          <w:szCs w:val="24"/>
        </w:rPr>
        <w:t xml:space="preserve"> ir yra selektyvus S1P1 receptoriui bei sukelia neigiamą </w:t>
      </w:r>
      <w:proofErr w:type="spellStart"/>
      <w:r w:rsidRPr="00D313EC">
        <w:rPr>
          <w:rFonts w:ascii="Helvetica" w:hAnsi="Helvetica" w:cs="Helvetica"/>
          <w:sz w:val="20"/>
          <w:szCs w:val="24"/>
        </w:rPr>
        <w:t>chronotropinį</w:t>
      </w:r>
      <w:proofErr w:type="spellEnd"/>
      <w:r w:rsidRPr="00D313EC">
        <w:rPr>
          <w:rFonts w:ascii="Helvetica" w:hAnsi="Helvetica" w:cs="Helvetica"/>
          <w:sz w:val="20"/>
          <w:szCs w:val="24"/>
        </w:rPr>
        <w:t xml:space="preserve"> poveikį širdies susitraukimų dažniui, skirtas naudoti gydant autoimuninę ligą, pasirinktinai, išsėtinę sklerozę, </w:t>
      </w:r>
      <w:proofErr w:type="spellStart"/>
      <w:r w:rsidRPr="00D313EC">
        <w:rPr>
          <w:rFonts w:ascii="Helvetica" w:hAnsi="Helvetica" w:cs="Helvetica"/>
          <w:sz w:val="20"/>
          <w:szCs w:val="24"/>
        </w:rPr>
        <w:t>polimiozitą</w:t>
      </w:r>
      <w:proofErr w:type="spellEnd"/>
      <w:r w:rsidRPr="00D313EC">
        <w:rPr>
          <w:rFonts w:ascii="Helvetica" w:hAnsi="Helvetica" w:cs="Helvetica"/>
          <w:sz w:val="20"/>
          <w:szCs w:val="24"/>
        </w:rPr>
        <w:t xml:space="preserve">, vilkligės nefritą, reumatoidinį artritą, uždegiminę žarnyno ligą ir psoriazę, kai pradiniu gydymo laikotarpiu skiriama mažesnė už standartinę minėto vaisto paros dozė, kuri didinama laipsniškai arba tik vieną kartą, kol pasiekiama standartinė paros dozė, o vėliau gydymas tęsiamas standartine minėto S1P receptorių moduliatoriaus arba </w:t>
      </w:r>
      <w:proofErr w:type="spellStart"/>
      <w:r w:rsidRPr="00D313EC">
        <w:rPr>
          <w:rFonts w:ascii="Helvetica" w:hAnsi="Helvetica" w:cs="Helvetica"/>
          <w:sz w:val="20"/>
          <w:szCs w:val="24"/>
        </w:rPr>
        <w:t>agonisto</w:t>
      </w:r>
      <w:proofErr w:type="spellEnd"/>
      <w:r w:rsidRPr="00D313EC">
        <w:rPr>
          <w:rFonts w:ascii="Helvetica" w:hAnsi="Helvetica" w:cs="Helvetica"/>
          <w:sz w:val="20"/>
          <w:szCs w:val="24"/>
        </w:rPr>
        <w:t xml:space="preserve"> paros doze, kai pradinis gydymo laikotarpis, kurio metu skiriama mažesnė nei standartinė S1P receptorių moduliatoriaus arba </w:t>
      </w:r>
      <w:proofErr w:type="spellStart"/>
      <w:r w:rsidRPr="00D313EC">
        <w:rPr>
          <w:rFonts w:ascii="Helvetica" w:hAnsi="Helvetica" w:cs="Helvetica"/>
          <w:sz w:val="20"/>
          <w:szCs w:val="24"/>
        </w:rPr>
        <w:t>agonisto</w:t>
      </w:r>
      <w:proofErr w:type="spellEnd"/>
      <w:r w:rsidRPr="00D313EC">
        <w:rPr>
          <w:rFonts w:ascii="Helvetica" w:hAnsi="Helvetica" w:cs="Helvetica"/>
          <w:sz w:val="20"/>
          <w:szCs w:val="24"/>
        </w:rPr>
        <w:t xml:space="preserve"> paros dozė, yra 7 dienos, kad tą dieną, kai skiriama standartinė minėto S1P receptorių moduliatoriaus arba </w:t>
      </w:r>
      <w:proofErr w:type="spellStart"/>
      <w:r w:rsidRPr="00D313EC">
        <w:rPr>
          <w:rFonts w:ascii="Helvetica" w:hAnsi="Helvetica" w:cs="Helvetica"/>
          <w:sz w:val="20"/>
          <w:szCs w:val="24"/>
        </w:rPr>
        <w:t>agonisto</w:t>
      </w:r>
      <w:proofErr w:type="spellEnd"/>
      <w:r w:rsidRPr="00D313EC">
        <w:rPr>
          <w:rFonts w:ascii="Helvetica" w:hAnsi="Helvetica" w:cs="Helvetica"/>
          <w:sz w:val="20"/>
          <w:szCs w:val="24"/>
        </w:rPr>
        <w:t xml:space="preserve"> paros dozė, širdies susitraukimų dažnio sumažėjimas apsiribotų maždaug 2 dūžiais per minutę arba mažiau.</w:t>
      </w:r>
    </w:p>
    <w:sectPr w:rsidR="0018473C" w:rsidRPr="00D313EC" w:rsidSect="00D313EC">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91002" w14:textId="77777777" w:rsidR="002375AF" w:rsidRDefault="002375AF" w:rsidP="00D313EC">
      <w:pPr>
        <w:spacing w:after="0" w:line="240" w:lineRule="auto"/>
      </w:pPr>
      <w:r>
        <w:separator/>
      </w:r>
    </w:p>
  </w:endnote>
  <w:endnote w:type="continuationSeparator" w:id="0">
    <w:p w14:paraId="5B6CB681" w14:textId="77777777" w:rsidR="002375AF" w:rsidRDefault="002375AF" w:rsidP="00D3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FB21" w14:textId="77777777" w:rsidR="002375AF" w:rsidRDefault="002375AF" w:rsidP="00D313EC">
      <w:pPr>
        <w:spacing w:after="0" w:line="240" w:lineRule="auto"/>
      </w:pPr>
      <w:r>
        <w:separator/>
      </w:r>
    </w:p>
  </w:footnote>
  <w:footnote w:type="continuationSeparator" w:id="0">
    <w:p w14:paraId="1CE2083F" w14:textId="77777777" w:rsidR="002375AF" w:rsidRDefault="002375AF" w:rsidP="00D313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2"/>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652"/>
    <w:rsid w:val="0000726D"/>
    <w:rsid w:val="000657CC"/>
    <w:rsid w:val="00091494"/>
    <w:rsid w:val="000B1DE7"/>
    <w:rsid w:val="00100598"/>
    <w:rsid w:val="001340E0"/>
    <w:rsid w:val="00142022"/>
    <w:rsid w:val="0018473C"/>
    <w:rsid w:val="001A66DC"/>
    <w:rsid w:val="001D55F6"/>
    <w:rsid w:val="00220F37"/>
    <w:rsid w:val="002375AF"/>
    <w:rsid w:val="00276E95"/>
    <w:rsid w:val="0028658E"/>
    <w:rsid w:val="002C447F"/>
    <w:rsid w:val="002D2F3D"/>
    <w:rsid w:val="002F3283"/>
    <w:rsid w:val="003157EF"/>
    <w:rsid w:val="003215A7"/>
    <w:rsid w:val="003221D8"/>
    <w:rsid w:val="003315F6"/>
    <w:rsid w:val="0033564B"/>
    <w:rsid w:val="0036065D"/>
    <w:rsid w:val="003A00DC"/>
    <w:rsid w:val="003C2A5A"/>
    <w:rsid w:val="003C4F3F"/>
    <w:rsid w:val="003D7D5D"/>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831DEC"/>
    <w:rsid w:val="00890960"/>
    <w:rsid w:val="008B787F"/>
    <w:rsid w:val="008E1C0A"/>
    <w:rsid w:val="00904B41"/>
    <w:rsid w:val="00947F90"/>
    <w:rsid w:val="009834FF"/>
    <w:rsid w:val="009E7C9A"/>
    <w:rsid w:val="00A007EB"/>
    <w:rsid w:val="00A41E70"/>
    <w:rsid w:val="00A7405D"/>
    <w:rsid w:val="00AC620D"/>
    <w:rsid w:val="00AD0146"/>
    <w:rsid w:val="00AD5E9E"/>
    <w:rsid w:val="00B517F1"/>
    <w:rsid w:val="00B536BD"/>
    <w:rsid w:val="00B63A7F"/>
    <w:rsid w:val="00BB6652"/>
    <w:rsid w:val="00BC407F"/>
    <w:rsid w:val="00C211B4"/>
    <w:rsid w:val="00C87E23"/>
    <w:rsid w:val="00CE2C39"/>
    <w:rsid w:val="00D313EC"/>
    <w:rsid w:val="00D47BE4"/>
    <w:rsid w:val="00D61739"/>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8C78B"/>
  <w15:chartTrackingRefBased/>
  <w15:docId w15:val="{BA3A6BE9-081D-4494-8889-1CF48B2D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style>
  <w:style w:type="paragraph" w:styleId="Antrat1">
    <w:name w:val="heading 1"/>
    <w:basedOn w:val="prastasis"/>
    <w:next w:val="prastasis"/>
    <w:link w:val="Antrat1Diagrama"/>
    <w:uiPriority w:val="9"/>
    <w:qFormat/>
    <w:rsid w:val="00BB665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Antrat2">
    <w:name w:val="heading 2"/>
    <w:basedOn w:val="prastasis"/>
    <w:next w:val="prastasis"/>
    <w:link w:val="Antrat2Diagrama"/>
    <w:uiPriority w:val="9"/>
    <w:semiHidden/>
    <w:unhideWhenUsed/>
    <w:qFormat/>
    <w:rsid w:val="00BB665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Antrat3">
    <w:name w:val="heading 3"/>
    <w:basedOn w:val="prastasis"/>
    <w:next w:val="prastasis"/>
    <w:link w:val="Antrat3Diagrama"/>
    <w:uiPriority w:val="9"/>
    <w:semiHidden/>
    <w:unhideWhenUsed/>
    <w:qFormat/>
    <w:rsid w:val="00BB6652"/>
    <w:pPr>
      <w:keepNext/>
      <w:keepLines/>
      <w:spacing w:before="160" w:after="80"/>
      <w:outlineLvl w:val="2"/>
    </w:pPr>
    <w:rPr>
      <w:rFonts w:eastAsiaTheme="majorEastAsia" w:cstheme="majorBidi"/>
      <w:color w:val="365F91" w:themeColor="accent1" w:themeShade="BF"/>
      <w:sz w:val="28"/>
      <w:szCs w:val="28"/>
    </w:rPr>
  </w:style>
  <w:style w:type="paragraph" w:styleId="Antrat4">
    <w:name w:val="heading 4"/>
    <w:basedOn w:val="prastasis"/>
    <w:next w:val="prastasis"/>
    <w:link w:val="Antrat4Diagrama"/>
    <w:uiPriority w:val="9"/>
    <w:semiHidden/>
    <w:unhideWhenUsed/>
    <w:qFormat/>
    <w:rsid w:val="00BB6652"/>
    <w:pPr>
      <w:keepNext/>
      <w:keepLines/>
      <w:spacing w:before="80" w:after="40"/>
      <w:outlineLvl w:val="3"/>
    </w:pPr>
    <w:rPr>
      <w:rFonts w:eastAsiaTheme="majorEastAsia" w:cstheme="majorBidi"/>
      <w:i/>
      <w:iCs/>
      <w:color w:val="365F91" w:themeColor="accent1" w:themeShade="BF"/>
    </w:rPr>
  </w:style>
  <w:style w:type="paragraph" w:styleId="Antrat5">
    <w:name w:val="heading 5"/>
    <w:basedOn w:val="prastasis"/>
    <w:next w:val="prastasis"/>
    <w:link w:val="Antrat5Diagrama"/>
    <w:uiPriority w:val="9"/>
    <w:semiHidden/>
    <w:unhideWhenUsed/>
    <w:qFormat/>
    <w:rsid w:val="00BB6652"/>
    <w:pPr>
      <w:keepNext/>
      <w:keepLines/>
      <w:spacing w:before="80" w:after="40"/>
      <w:outlineLvl w:val="4"/>
    </w:pPr>
    <w:rPr>
      <w:rFonts w:eastAsiaTheme="majorEastAsia" w:cstheme="majorBidi"/>
      <w:color w:val="365F91" w:themeColor="accent1" w:themeShade="BF"/>
    </w:rPr>
  </w:style>
  <w:style w:type="paragraph" w:styleId="Antrat6">
    <w:name w:val="heading 6"/>
    <w:basedOn w:val="prastasis"/>
    <w:next w:val="prastasis"/>
    <w:link w:val="Antrat6Diagrama"/>
    <w:uiPriority w:val="9"/>
    <w:semiHidden/>
    <w:unhideWhenUsed/>
    <w:qFormat/>
    <w:rsid w:val="00BB6652"/>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B6652"/>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B6652"/>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B6652"/>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B6652"/>
    <w:rPr>
      <w:rFonts w:asciiTheme="majorHAnsi" w:eastAsiaTheme="majorEastAsia" w:hAnsiTheme="majorHAnsi" w:cstheme="majorBidi"/>
      <w:color w:val="365F91" w:themeColor="accent1" w:themeShade="BF"/>
      <w:sz w:val="40"/>
      <w:szCs w:val="40"/>
    </w:rPr>
  </w:style>
  <w:style w:type="character" w:customStyle="1" w:styleId="Antrat2Diagrama">
    <w:name w:val="Antraštė 2 Diagrama"/>
    <w:basedOn w:val="Numatytasispastraiposriftas"/>
    <w:link w:val="Antrat2"/>
    <w:uiPriority w:val="9"/>
    <w:semiHidden/>
    <w:rsid w:val="00BB6652"/>
    <w:rPr>
      <w:rFonts w:asciiTheme="majorHAnsi" w:eastAsiaTheme="majorEastAsia" w:hAnsiTheme="majorHAnsi" w:cstheme="majorBidi"/>
      <w:color w:val="365F91" w:themeColor="accent1" w:themeShade="BF"/>
      <w:sz w:val="32"/>
      <w:szCs w:val="32"/>
    </w:rPr>
  </w:style>
  <w:style w:type="character" w:customStyle="1" w:styleId="Antrat3Diagrama">
    <w:name w:val="Antraštė 3 Diagrama"/>
    <w:basedOn w:val="Numatytasispastraiposriftas"/>
    <w:link w:val="Antrat3"/>
    <w:uiPriority w:val="9"/>
    <w:semiHidden/>
    <w:rsid w:val="00BB6652"/>
    <w:rPr>
      <w:rFonts w:eastAsiaTheme="majorEastAsia" w:cstheme="majorBidi"/>
      <w:color w:val="365F91" w:themeColor="accent1" w:themeShade="BF"/>
      <w:sz w:val="28"/>
      <w:szCs w:val="28"/>
    </w:rPr>
  </w:style>
  <w:style w:type="character" w:customStyle="1" w:styleId="Antrat4Diagrama">
    <w:name w:val="Antraštė 4 Diagrama"/>
    <w:basedOn w:val="Numatytasispastraiposriftas"/>
    <w:link w:val="Antrat4"/>
    <w:uiPriority w:val="9"/>
    <w:semiHidden/>
    <w:rsid w:val="00BB6652"/>
    <w:rPr>
      <w:rFonts w:eastAsiaTheme="majorEastAsia" w:cstheme="majorBidi"/>
      <w:i/>
      <w:iCs/>
      <w:color w:val="365F91" w:themeColor="accent1" w:themeShade="BF"/>
    </w:rPr>
  </w:style>
  <w:style w:type="character" w:customStyle="1" w:styleId="Antrat5Diagrama">
    <w:name w:val="Antraštė 5 Diagrama"/>
    <w:basedOn w:val="Numatytasispastraiposriftas"/>
    <w:link w:val="Antrat5"/>
    <w:uiPriority w:val="9"/>
    <w:semiHidden/>
    <w:rsid w:val="00BB6652"/>
    <w:rPr>
      <w:rFonts w:eastAsiaTheme="majorEastAsia" w:cstheme="majorBidi"/>
      <w:color w:val="365F91" w:themeColor="accent1" w:themeShade="BF"/>
    </w:rPr>
  </w:style>
  <w:style w:type="character" w:customStyle="1" w:styleId="Antrat6Diagrama">
    <w:name w:val="Antraštė 6 Diagrama"/>
    <w:basedOn w:val="Numatytasispastraiposriftas"/>
    <w:link w:val="Antrat6"/>
    <w:uiPriority w:val="9"/>
    <w:semiHidden/>
    <w:rsid w:val="00BB6652"/>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B6652"/>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B6652"/>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B6652"/>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B6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B665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B6652"/>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B6652"/>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B6652"/>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B6652"/>
    <w:rPr>
      <w:i/>
      <w:iCs/>
      <w:color w:val="404040" w:themeColor="text1" w:themeTint="BF"/>
    </w:rPr>
  </w:style>
  <w:style w:type="paragraph" w:styleId="Sraopastraipa">
    <w:name w:val="List Paragraph"/>
    <w:basedOn w:val="prastasis"/>
    <w:uiPriority w:val="34"/>
    <w:qFormat/>
    <w:rsid w:val="00BB6652"/>
    <w:pPr>
      <w:ind w:left="720"/>
      <w:contextualSpacing/>
    </w:pPr>
  </w:style>
  <w:style w:type="character" w:styleId="Rykuspabraukimas">
    <w:name w:val="Intense Emphasis"/>
    <w:basedOn w:val="Numatytasispastraiposriftas"/>
    <w:uiPriority w:val="21"/>
    <w:qFormat/>
    <w:rsid w:val="00BB6652"/>
    <w:rPr>
      <w:i/>
      <w:iCs/>
      <w:color w:val="365F91" w:themeColor="accent1" w:themeShade="BF"/>
    </w:rPr>
  </w:style>
  <w:style w:type="paragraph" w:styleId="Iskirtacitata">
    <w:name w:val="Intense Quote"/>
    <w:basedOn w:val="prastasis"/>
    <w:next w:val="prastasis"/>
    <w:link w:val="IskirtacitataDiagrama"/>
    <w:uiPriority w:val="30"/>
    <w:qFormat/>
    <w:rsid w:val="00BB665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skirtacitataDiagrama">
    <w:name w:val="Išskirta citata Diagrama"/>
    <w:basedOn w:val="Numatytasispastraiposriftas"/>
    <w:link w:val="Iskirtacitata"/>
    <w:uiPriority w:val="30"/>
    <w:rsid w:val="00BB6652"/>
    <w:rPr>
      <w:i/>
      <w:iCs/>
      <w:color w:val="365F91" w:themeColor="accent1" w:themeShade="BF"/>
    </w:rPr>
  </w:style>
  <w:style w:type="character" w:styleId="Rykinuoroda">
    <w:name w:val="Intense Reference"/>
    <w:basedOn w:val="Numatytasispastraiposriftas"/>
    <w:uiPriority w:val="32"/>
    <w:qFormat/>
    <w:rsid w:val="00BB6652"/>
    <w:rPr>
      <w:b/>
      <w:bCs/>
      <w:smallCaps/>
      <w:color w:val="365F91" w:themeColor="accent1" w:themeShade="BF"/>
      <w:spacing w:val="5"/>
    </w:rPr>
  </w:style>
  <w:style w:type="paragraph" w:styleId="Antrats">
    <w:name w:val="header"/>
    <w:basedOn w:val="prastasis"/>
    <w:link w:val="AntratsDiagrama"/>
    <w:uiPriority w:val="99"/>
    <w:unhideWhenUsed/>
    <w:rsid w:val="00D313EC"/>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D313EC"/>
  </w:style>
  <w:style w:type="paragraph" w:styleId="Porat">
    <w:name w:val="footer"/>
    <w:basedOn w:val="prastasis"/>
    <w:link w:val="PoratDiagrama"/>
    <w:uiPriority w:val="99"/>
    <w:unhideWhenUsed/>
    <w:rsid w:val="00D313EC"/>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D3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263</Words>
  <Characters>1816</Characters>
  <Application>Microsoft Office Word</Application>
  <DocSecurity>0</DocSecurity>
  <Lines>23</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Eidukevičienė</dc:creator>
  <cp:keywords/>
  <dc:description/>
  <cp:lastModifiedBy>Jurgita Eidukevičienė</cp:lastModifiedBy>
  <cp:revision>4</cp:revision>
  <dcterms:created xsi:type="dcterms:W3CDTF">2025-07-08T07:31:00Z</dcterms:created>
  <dcterms:modified xsi:type="dcterms:W3CDTF">2025-07-08T07:48:00Z</dcterms:modified>
</cp:coreProperties>
</file>