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4069" w14:textId="77777777" w:rsidR="00B341B8" w:rsidRPr="001A1119" w:rsidRDefault="00BA2E9F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Skysta farmacinė kompozicija, tinkama vartoti įkv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epiant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 xml:space="preserve">, apimanti: </w:t>
      </w:r>
    </w:p>
    <w:p w14:paraId="6F27F53C" w14:textId="09087C4A" w:rsidR="00F84415" w:rsidRPr="001A1119" w:rsidRDefault="00B341B8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i) ensifentrino dalel</w:t>
      </w:r>
      <w:r w:rsidRPr="001A1119">
        <w:rPr>
          <w:rFonts w:ascii="Helvetica" w:hAnsi="Helvetica" w:cs="Arial"/>
          <w:sz w:val="20"/>
          <w:szCs w:val="24"/>
          <w:lang w:val="lt-LT"/>
        </w:rPr>
        <w:t>e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s;</w:t>
      </w:r>
    </w:p>
    <w:p w14:paraId="6AF7EB84" w14:textId="595ADFD1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(ii) glikopirolat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ą</w:t>
      </w:r>
      <w:r w:rsidRPr="001A1119">
        <w:rPr>
          <w:rFonts w:ascii="Helvetica" w:hAnsi="Helvetica" w:cs="Arial"/>
          <w:sz w:val="20"/>
          <w:szCs w:val="24"/>
          <w:lang w:val="lt-LT"/>
        </w:rPr>
        <w:t>; ir</w:t>
      </w:r>
    </w:p>
    <w:p w14:paraId="4413165F" w14:textId="18049002" w:rsidR="00F84415" w:rsidRPr="001A1119" w:rsidRDefault="00B13831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t>(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iii) skiedikl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į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, kur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 skiediklis apima 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vand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enį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,</w:t>
      </w:r>
    </w:p>
    <w:p w14:paraId="7EA786DC" w14:textId="77777777" w:rsidR="00B341B8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kur: </w:t>
      </w:r>
    </w:p>
    <w:p w14:paraId="2B4E1840" w14:textId="78FD7609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ensifentrino dalelių koncentracija yra nuo 0,1 iki 5,0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>;</w:t>
      </w:r>
    </w:p>
    <w:p w14:paraId="6E050BA4" w14:textId="12ACF8C5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glikopirolatas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1A1119">
        <w:rPr>
          <w:rFonts w:ascii="Helvetica" w:hAnsi="Helvetica" w:cs="Arial"/>
          <w:sz w:val="20"/>
          <w:szCs w:val="24"/>
          <w:lang w:val="lt-LT"/>
        </w:rPr>
        <w:t>ištirpinamas skiediklyje;</w:t>
      </w:r>
    </w:p>
    <w:p w14:paraId="529C7BDA" w14:textId="3603ED54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glikopirolato koncentracija yra lygi 5,0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 arba mažesnė</w:t>
      </w:r>
      <w:r w:rsidRPr="001A1119">
        <w:rPr>
          <w:rFonts w:ascii="Helvetica" w:hAnsi="Helvetica" w:cs="Arial"/>
          <w:sz w:val="20"/>
          <w:szCs w:val="24"/>
          <w:lang w:val="lt-LT"/>
        </w:rPr>
        <w:t>; ir</w:t>
      </w:r>
    </w:p>
    <w:p w14:paraId="58483BFA" w14:textId="2E77E6DC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skystos farmacinės kompozicijos pH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vertė </w:t>
      </w:r>
      <w:r w:rsidRPr="001A1119">
        <w:rPr>
          <w:rFonts w:ascii="Helvetica" w:hAnsi="Helvetica" w:cs="Arial"/>
          <w:sz w:val="20"/>
          <w:szCs w:val="24"/>
          <w:lang w:val="lt-LT"/>
        </w:rPr>
        <w:t>yra nuo 3,0 iki 6,0.</w:t>
      </w:r>
    </w:p>
    <w:p w14:paraId="64CEFC1C" w14:textId="77777777" w:rsidR="00B341B8" w:rsidRPr="001A1119" w:rsidRDefault="00B341B8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417D45" w14:textId="450B39E2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2.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Skysta farmacinė kompozicija pagal 1 punktą, kur skystos farmacinės kompozicijos pH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vertė </w:t>
      </w:r>
      <w:r w:rsidRPr="001A1119">
        <w:rPr>
          <w:rFonts w:ascii="Helvetica" w:hAnsi="Helvetica" w:cs="Arial"/>
          <w:sz w:val="20"/>
          <w:szCs w:val="24"/>
          <w:lang w:val="lt-LT"/>
        </w:rPr>
        <w:t>yra nuo 3,5 iki 5,0.</w:t>
      </w:r>
    </w:p>
    <w:p w14:paraId="7CB9ECE9" w14:textId="77777777" w:rsidR="00B341B8" w:rsidRPr="001A1119" w:rsidRDefault="00B341B8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B478AB" w14:textId="77777777" w:rsidR="00B341B8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3.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Skysta farmacinė kompozicija pagal 1 arba 2 punktą, kur skysta farmacinė kompozicija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dar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apima buferį,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>, k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ur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buferis yra citratinis buferis, </w:t>
      </w:r>
    </w:p>
    <w:p w14:paraId="206BFD80" w14:textId="645B17FF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pasirinktinai kur buferio koncentracija yra nuo 10,0 iki 40,0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nuo 20,0. iki 30,0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7644CE6B" w14:textId="77777777" w:rsidR="00B341B8" w:rsidRPr="001A1119" w:rsidRDefault="00B341B8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6ABF77" w14:textId="32794892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4.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kur:</w:t>
      </w:r>
    </w:p>
    <w:p w14:paraId="2B40082E" w14:textId="7F655EF4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glikopirolato koncentracija yra nuo 0,01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iki 2,0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nuo 0,02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iki 0,25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ir (arba)</w:t>
      </w:r>
    </w:p>
    <w:p w14:paraId="52869F48" w14:textId="22344343" w:rsidR="00F84415" w:rsidRPr="001A1119" w:rsidRDefault="00B341B8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en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 xml:space="preserve">sifentrino:glikopirolato masės santykis skystoje farmacinėje kompozicijoje yra nuo 1:5 iki 200:1, </w:t>
      </w:r>
      <w:r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 xml:space="preserve"> nuo 15:1 iki 120:1; </w:t>
      </w:r>
      <w:r w:rsidRPr="001A1119">
        <w:rPr>
          <w:rFonts w:ascii="Helvetica" w:hAnsi="Helvetica" w:cs="Arial"/>
          <w:sz w:val="20"/>
          <w:szCs w:val="24"/>
          <w:lang w:val="lt-LT"/>
        </w:rPr>
        <w:t>ir (arba)</w:t>
      </w:r>
    </w:p>
    <w:p w14:paraId="11996D71" w14:textId="38862A33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ensifentrino dalelių koncentracija yra nuo 0,15 iki 2,5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ir (arba)</w:t>
      </w:r>
    </w:p>
    <w:p w14:paraId="46084B30" w14:textId="77777777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ensifentrino dalelių Dv50 yra nuo 0,5 iki 5,0 µm.</w:t>
      </w:r>
    </w:p>
    <w:p w14:paraId="3AF7E47B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6A579E" w14:textId="73B0B7DE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5.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 glikopirolatas yra farmaciniu požiūriu priimtina glikopironio druska,</w:t>
      </w:r>
    </w:p>
    <w:p w14:paraId="62B00D1B" w14:textId="7ADD27EE" w:rsidR="00F84415" w:rsidRPr="001A1119" w:rsidRDefault="00B341B8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>kur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 xml:space="preserve"> glikopirolatas yra glikopironio bromidas arba glikopironio chloridas,</w:t>
      </w:r>
    </w:p>
    <w:p w14:paraId="16F3B44E" w14:textId="3323A20D" w:rsidR="00F84415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labiau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, k</w:t>
      </w:r>
      <w:r w:rsidRPr="001A1119">
        <w:rPr>
          <w:rFonts w:ascii="Helvetica" w:hAnsi="Helvetica" w:cs="Arial"/>
          <w:sz w:val="20"/>
          <w:szCs w:val="24"/>
          <w:lang w:val="lt-LT"/>
        </w:rPr>
        <w:t>ur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 xml:space="preserve"> glikopirolatas yra glikopironio bromidas.</w:t>
      </w:r>
    </w:p>
    <w:p w14:paraId="745BFF9F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D98F71" w14:textId="502362EC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6.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kur:</w:t>
      </w:r>
    </w:p>
    <w:p w14:paraId="1560BFDD" w14:textId="2E64AE62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skiediklis yra vanduo, </w:t>
      </w:r>
      <w:r w:rsidR="00D964E6" w:rsidRPr="001A1119">
        <w:rPr>
          <w:rFonts w:ascii="Helvetica" w:hAnsi="Helvetica" w:cs="Arial"/>
          <w:sz w:val="20"/>
          <w:szCs w:val="24"/>
          <w:lang w:val="lt-LT"/>
        </w:rPr>
        <w:t>ir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skysta farmacinė kompozicija </w:t>
      </w:r>
      <w:r w:rsidR="00D964E6" w:rsidRPr="001A1119">
        <w:rPr>
          <w:rFonts w:ascii="Helvetica" w:hAnsi="Helvetica" w:cs="Arial"/>
          <w:sz w:val="20"/>
          <w:szCs w:val="24"/>
          <w:lang w:val="lt-LT"/>
        </w:rPr>
        <w:t>apima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mažiausiai 80 masės % skiediklio, skaičiuojant </w:t>
      </w:r>
      <w:r w:rsidR="00D964E6" w:rsidRPr="001A1119">
        <w:rPr>
          <w:rFonts w:ascii="Helvetica" w:hAnsi="Helvetica" w:cs="Arial"/>
          <w:sz w:val="20"/>
          <w:szCs w:val="24"/>
          <w:lang w:val="lt-LT"/>
        </w:rPr>
        <w:t>pagal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vis</w:t>
      </w:r>
      <w:r w:rsidR="00D964E6" w:rsidRPr="001A1119">
        <w:rPr>
          <w:rFonts w:ascii="Helvetica" w:hAnsi="Helvetica" w:cs="Arial"/>
          <w:sz w:val="20"/>
          <w:szCs w:val="24"/>
          <w:lang w:val="lt-LT"/>
        </w:rPr>
        <w:t>ą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skystos farmacinės kompozicijos mas</w:t>
      </w:r>
      <w:r w:rsidR="00D964E6" w:rsidRPr="001A1119">
        <w:rPr>
          <w:rFonts w:ascii="Helvetica" w:hAnsi="Helvetica" w:cs="Arial"/>
          <w:sz w:val="20"/>
          <w:szCs w:val="24"/>
          <w:lang w:val="lt-LT"/>
        </w:rPr>
        <w:t>ę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ir (arba)</w:t>
      </w:r>
    </w:p>
    <w:p w14:paraId="3BAD44A5" w14:textId="4A2D15C2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 xml:space="preserve"> dar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apima toniškumo reguliatorių,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>, k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ur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toniškumo reguliatorius yra natrio chloridas,</w:t>
      </w:r>
    </w:p>
    <w:p w14:paraId="012F5319" w14:textId="61EB08BE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pasirinktinai, kur toniškumo reguliatoriaus koncentracija yra didesnė 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 xml:space="preserve">1,0 mg/ml 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 xml:space="preserve">jai 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lygi,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nuo 4,0 iki 20,0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labiau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nuo 6,0 iki 12,0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4C3ACE5A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1870EB" w14:textId="77777777" w:rsidR="006101C1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7.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Skysta farmacinė kompozicija pagal bet kurį iš ankstesnių punktų, kur skysta farmacinė kompozicija 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dar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apima vieną arba daugiau pavirši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nio aktyvumo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medžiagų,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>, k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ur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viena arba daugiau paviršinio aktyvumo medžiagų yra parinktos iš polisorbato ir sorbitano alkilo esterio, </w:t>
      </w:r>
    </w:p>
    <w:p w14:paraId="48093CA0" w14:textId="22B67005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 xml:space="preserve">kur pasirinktinai 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visa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vienos arba daugiau paviršinio aktyvumo medžiagų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 xml:space="preserve"> koncentracija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yra nuo 0,01 iki 2,0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pageidautina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nuo 0,1 iki 1,0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4A459474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229894A" w14:textId="1A993885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lastRenderedPageBreak/>
        <w:t>8.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 skysta farmacinė kompozicija apima:</w:t>
      </w:r>
    </w:p>
    <w:p w14:paraId="7E84B665" w14:textId="6FDB2757" w:rsidR="00F84415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i) ensifentrino dalel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e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s;</w:t>
      </w:r>
    </w:p>
    <w:p w14:paraId="44562AB7" w14:textId="040E11FD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(ii) glikopirolat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ą</w:t>
      </w:r>
      <w:r w:rsidRPr="001A1119">
        <w:rPr>
          <w:rFonts w:ascii="Helvetica" w:hAnsi="Helvetica" w:cs="Arial"/>
          <w:sz w:val="20"/>
          <w:szCs w:val="24"/>
          <w:lang w:val="lt-LT"/>
        </w:rPr>
        <w:t>;</w:t>
      </w:r>
    </w:p>
    <w:p w14:paraId="38B18938" w14:textId="406DA940" w:rsidR="00F84415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iii) skiedikl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į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;</w:t>
      </w:r>
    </w:p>
    <w:p w14:paraId="0DEA01EA" w14:textId="67F07824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(iv) polisorbato paviršinio aktyvumo medžiag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ą</w:t>
      </w:r>
      <w:r w:rsidRPr="001A1119">
        <w:rPr>
          <w:rFonts w:ascii="Helvetica" w:hAnsi="Helvetica" w:cs="Arial"/>
          <w:sz w:val="20"/>
          <w:szCs w:val="24"/>
          <w:lang w:val="lt-LT"/>
        </w:rPr>
        <w:t>;</w:t>
      </w:r>
    </w:p>
    <w:p w14:paraId="655815F1" w14:textId="39B87C61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(v) pasirinktinai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,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sorbitano alkilo esterio paviršinio aktyvumo medžiag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ą</w:t>
      </w:r>
      <w:r w:rsidRPr="001A1119">
        <w:rPr>
          <w:rFonts w:ascii="Helvetica" w:hAnsi="Helvetica" w:cs="Arial"/>
          <w:sz w:val="20"/>
          <w:szCs w:val="24"/>
          <w:lang w:val="lt-LT"/>
        </w:rPr>
        <w:t>;</w:t>
      </w:r>
    </w:p>
    <w:p w14:paraId="7F4EB7A2" w14:textId="4EF91BA0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(vi) citrat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inį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bufer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į</w:t>
      </w:r>
      <w:r w:rsidRPr="001A1119">
        <w:rPr>
          <w:rFonts w:ascii="Helvetica" w:hAnsi="Helvetica" w:cs="Arial"/>
          <w:sz w:val="20"/>
          <w:szCs w:val="24"/>
          <w:lang w:val="lt-LT"/>
        </w:rPr>
        <w:t>; ir</w:t>
      </w:r>
    </w:p>
    <w:p w14:paraId="09E7B013" w14:textId="7F0AA828" w:rsidR="00F84415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vii) natrio chlorid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ą</w:t>
      </w:r>
      <w:r w:rsidR="00F84415"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0E17369A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942F1B" w14:textId="17039277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9.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 skysta farmacinė kompozicija apima:</w:t>
      </w:r>
    </w:p>
    <w:p w14:paraId="5ADFC5C5" w14:textId="1E149196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(i) nuo 0,1 iki 2,5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ensifentrino dalelių, pasirinktinai nuo 0,5 iki 2,5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ensifentrino dalelių;</w:t>
      </w:r>
    </w:p>
    <w:p w14:paraId="55B301CA" w14:textId="56E205AF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(ii) nuo 0,01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iki 2,0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glikopironio bromido;</w:t>
      </w:r>
    </w:p>
    <w:p w14:paraId="4F587973" w14:textId="16B1B7E3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(iii) vanden</w:t>
      </w:r>
      <w:r w:rsidR="006101C1" w:rsidRPr="001A1119">
        <w:rPr>
          <w:rFonts w:ascii="Helvetica" w:hAnsi="Helvetica" w:cs="Arial"/>
          <w:sz w:val="20"/>
          <w:szCs w:val="24"/>
          <w:lang w:val="lt-LT"/>
        </w:rPr>
        <w:t>į</w:t>
      </w:r>
      <w:r w:rsidRPr="001A1119">
        <w:rPr>
          <w:rFonts w:ascii="Helvetica" w:hAnsi="Helvetica" w:cs="Arial"/>
          <w:sz w:val="20"/>
          <w:szCs w:val="24"/>
          <w:lang w:val="lt-LT"/>
        </w:rPr>
        <w:t>;</w:t>
      </w:r>
    </w:p>
    <w:p w14:paraId="10380D2B" w14:textId="6334A38E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(iv) nuo 0,1 iki 1,0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polisorbato 20;</w:t>
      </w:r>
    </w:p>
    <w:p w14:paraId="515DDCAC" w14:textId="6A8360AC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(v) pasirinktinai nuo 0,01 iki 0,1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sorbitano monolaurato;</w:t>
      </w:r>
    </w:p>
    <w:p w14:paraId="18E79937" w14:textId="78A77F9B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(vi) nuo 5,0 iki 15,0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citrinos rūgšties;</w:t>
      </w:r>
    </w:p>
    <w:p w14:paraId="07ED8795" w14:textId="7D19FD1C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(vii) nuo 10,0 iki 20,0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trinatrio citrato; ir</w:t>
      </w:r>
    </w:p>
    <w:p w14:paraId="3E77263C" w14:textId="28E5EFD6" w:rsidR="00F84415" w:rsidRPr="001A1119" w:rsidRDefault="00F84415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(viii) nuo 5,0 iki 15,0 mg</w:t>
      </w:r>
      <w:r w:rsidR="00B341B8" w:rsidRPr="001A1119">
        <w:rPr>
          <w:rFonts w:ascii="Helvetica" w:hAnsi="Helvetica" w:cs="Arial"/>
          <w:sz w:val="20"/>
          <w:szCs w:val="24"/>
          <w:lang w:val="lt-LT"/>
        </w:rPr>
        <w:t>/ml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natrio chlorido.</w:t>
      </w:r>
    </w:p>
    <w:p w14:paraId="2273DF7E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E4C5D5" w14:textId="583D8A8C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10.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Skysta farmacinė kompozicija pagal bet kurį iš ankstesnių punktų, kur skysta farmacinė kompozicija yra stabili sifentrino ir glikopirolato cheminio skilimo atžvilgiu mažiausiai 1 mėnesį, kai laikoma 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esant </w:t>
      </w:r>
      <w:r w:rsidRPr="001A1119">
        <w:rPr>
          <w:rFonts w:ascii="Helvetica" w:hAnsi="Helvetica" w:cs="Arial"/>
          <w:sz w:val="20"/>
          <w:szCs w:val="24"/>
          <w:lang w:val="lt-LT"/>
        </w:rPr>
        <w:t>25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°C temperatūr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ai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ir 60 % santykin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ei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drėgm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ei</w:t>
      </w:r>
      <w:r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1D5A4FAB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A1C221" w14:textId="684E3226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11.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 skysta farmacinė kompozicija yra tinkama įvesti purkštu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ko pagalba</w:t>
      </w:r>
      <w:r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62D59729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8BC746" w14:textId="23D29E93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12.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Purkštu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k</w:t>
      </w:r>
      <w:r w:rsidRPr="001A1119">
        <w:rPr>
          <w:rFonts w:ascii="Helvetica" w:hAnsi="Helvetica" w:cs="Arial"/>
          <w:sz w:val="20"/>
          <w:szCs w:val="24"/>
          <w:lang w:val="lt-LT"/>
        </w:rPr>
        <w:t>as, apimantis skystą farmacinę kompoziciją pagal bet kurį iš ankstesnių punktų.</w:t>
      </w:r>
    </w:p>
    <w:p w14:paraId="65BDA101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1EC7C6" w14:textId="3BB25574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13.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1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-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11 punktų, skirta naudoti žmogaus arba gyvūno kūno gydymui.</w:t>
      </w:r>
    </w:p>
    <w:p w14:paraId="1B307E10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D76C16" w14:textId="6D2D541E" w:rsidR="00F84415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14.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 pagal bet kurį iš 1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-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11 punktų, skirta naudoti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 xml:space="preserve"> gydymui arba profilaktikai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ligos arba būklės, parinktos iš lėtinės obstrukcinės plaučių ligos (LOPL), astmos, alerginės astmos, šienligės, alerginio rinito, bronchito, emfizemos, bronchektazė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>, suaugusiųjų kvėpavimo distreso sindrom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(ARDS), steroidams atspari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astm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>, sunki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astm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>, vaikų astm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>, cistinė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fibrozė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>, plaučių fibrozė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>, plau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tinės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fibrozė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>, intersticinė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plaučių lig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>, odos sutrikim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</w:t>
      </w:r>
      <w:r w:rsidRPr="001A1119">
        <w:rPr>
          <w:rFonts w:ascii="Helvetica" w:hAnsi="Helvetica" w:cs="Arial"/>
          <w:sz w:val="20"/>
          <w:szCs w:val="24"/>
          <w:lang w:val="lt-LT"/>
        </w:rPr>
        <w:t>, atopini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dermatit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</w:t>
      </w:r>
      <w:r w:rsidRPr="001A1119">
        <w:rPr>
          <w:rFonts w:ascii="Helvetica" w:hAnsi="Helvetica" w:cs="Arial"/>
          <w:sz w:val="20"/>
          <w:szCs w:val="24"/>
          <w:lang w:val="lt-LT"/>
        </w:rPr>
        <w:t>, psoriazė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>, akių uždegim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</w:t>
      </w:r>
      <w:r w:rsidRPr="001A1119">
        <w:rPr>
          <w:rFonts w:ascii="Helvetica" w:hAnsi="Helvetica" w:cs="Arial"/>
          <w:sz w:val="20"/>
          <w:szCs w:val="24"/>
          <w:lang w:val="lt-LT"/>
        </w:rPr>
        <w:t>, smegenų išemij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>, uždegiminė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ir autoimuninė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s</w:t>
      </w:r>
      <w:r w:rsidRPr="001A1119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776DDE" w:rsidRPr="001A1119">
        <w:rPr>
          <w:rFonts w:ascii="Helvetica" w:hAnsi="Helvetica" w:cs="Arial"/>
          <w:sz w:val="20"/>
          <w:szCs w:val="24"/>
          <w:lang w:val="lt-LT"/>
        </w:rPr>
        <w:t>os</w:t>
      </w:r>
      <w:r w:rsidRPr="001A1119">
        <w:rPr>
          <w:rFonts w:ascii="Helvetica" w:hAnsi="Helvetica" w:cs="Arial"/>
          <w:sz w:val="20"/>
          <w:szCs w:val="24"/>
          <w:lang w:val="lt-LT"/>
        </w:rPr>
        <w:t>.</w:t>
      </w:r>
    </w:p>
    <w:p w14:paraId="68B3097E" w14:textId="77777777" w:rsidR="00743EA6" w:rsidRPr="001A1119" w:rsidRDefault="00743EA6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D54D7D" w14:textId="6522EB4A" w:rsidR="003D0FEF" w:rsidRPr="001A1119" w:rsidRDefault="00F84415" w:rsidP="001A111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A1119">
        <w:rPr>
          <w:rFonts w:ascii="Helvetica" w:hAnsi="Helvetica" w:cs="Arial"/>
          <w:sz w:val="20"/>
          <w:szCs w:val="24"/>
          <w:lang w:val="lt-LT"/>
        </w:rPr>
        <w:t>15.</w:t>
      </w:r>
      <w:r w:rsidR="00743EA6" w:rsidRPr="001A111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A1119">
        <w:rPr>
          <w:rFonts w:ascii="Helvetica" w:hAnsi="Helvetica" w:cs="Arial"/>
          <w:sz w:val="20"/>
          <w:szCs w:val="24"/>
          <w:lang w:val="lt-LT"/>
        </w:rPr>
        <w:t>Skysta farmacinė kompozicija, skirta naudoti pagal 14 punktą, kur liga arba būklė yra lėtinė obstrukcinė plaučių liga (LOPL).</w:t>
      </w:r>
    </w:p>
    <w:p w14:paraId="0AE488BE" w14:textId="77777777" w:rsidR="003D0FEF" w:rsidRPr="001A1119" w:rsidRDefault="003D0FEF" w:rsidP="001A111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3D0FEF" w:rsidRPr="001A1119" w:rsidSect="001A111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BC1B" w14:textId="77777777" w:rsidR="00E820BC" w:rsidRDefault="00E820BC" w:rsidP="007B0A41">
      <w:pPr>
        <w:spacing w:after="0" w:line="240" w:lineRule="auto"/>
      </w:pPr>
      <w:r>
        <w:separator/>
      </w:r>
    </w:p>
  </w:endnote>
  <w:endnote w:type="continuationSeparator" w:id="0">
    <w:p w14:paraId="0C6508CF" w14:textId="77777777" w:rsidR="00E820BC" w:rsidRDefault="00E820B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0DB2" w14:textId="77777777" w:rsidR="00E820BC" w:rsidRDefault="00E820BC" w:rsidP="007B0A41">
      <w:pPr>
        <w:spacing w:after="0" w:line="240" w:lineRule="auto"/>
      </w:pPr>
      <w:r>
        <w:separator/>
      </w:r>
    </w:p>
  </w:footnote>
  <w:footnote w:type="continuationSeparator" w:id="0">
    <w:p w14:paraId="3B6C5E60" w14:textId="77777777" w:rsidR="00E820BC" w:rsidRDefault="00E820B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1119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3F722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26EB0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01C1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43EA6"/>
    <w:rsid w:val="007752B9"/>
    <w:rsid w:val="007760A8"/>
    <w:rsid w:val="00776DDE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455CA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82DCD"/>
    <w:rsid w:val="00AA3A1F"/>
    <w:rsid w:val="00AD2397"/>
    <w:rsid w:val="00AD4691"/>
    <w:rsid w:val="00AE1ECB"/>
    <w:rsid w:val="00AE51EA"/>
    <w:rsid w:val="00B13831"/>
    <w:rsid w:val="00B226B6"/>
    <w:rsid w:val="00B341B8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964E6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820BC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0066"/>
    <w:rsid w:val="00F84415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2024-01-10T17:26:00Z</dcterms:created>
  <dcterms:modified xsi:type="dcterms:W3CDTF">2024-02-02T06:44:00Z</dcterms:modified>
</cp:coreProperties>
</file>